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D0" w:rsidRPr="009A63EC" w:rsidRDefault="005C65D0" w:rsidP="005C65D0">
      <w:pPr>
        <w:pStyle w:val="Els-Author"/>
        <w:spacing w:before="100" w:beforeAutospacing="1" w:after="100" w:afterAutospacing="1" w:line="360" w:lineRule="auto"/>
        <w:rPr>
          <w:rFonts w:ascii="Arial" w:hAnsi="Arial" w:cs="Arial"/>
          <w:b/>
          <w:bCs/>
          <w:noProof w:val="0"/>
          <w:color w:val="000000"/>
          <w:kern w:val="28"/>
          <w:sz w:val="28"/>
          <w:szCs w:val="28"/>
        </w:rPr>
      </w:pPr>
      <w:bookmarkStart w:id="0" w:name="_GoBack"/>
      <w:bookmarkEnd w:id="0"/>
      <w:r w:rsidRPr="009A63EC">
        <w:rPr>
          <w:rFonts w:ascii="Arial" w:hAnsi="Arial" w:cs="Arial"/>
          <w:b/>
          <w:bCs/>
          <w:noProof w:val="0"/>
          <w:color w:val="000000"/>
          <w:kern w:val="28"/>
          <w:sz w:val="28"/>
          <w:szCs w:val="28"/>
        </w:rPr>
        <w:t>The Effect of Oral Contraceptive Pills on the Gene Mutation of Factor V Leiden among Sudanese Women</w:t>
      </w:r>
    </w:p>
    <w:p w:rsidR="005C65D0" w:rsidRPr="009A63EC" w:rsidRDefault="002F4C5C" w:rsidP="005C65D0">
      <w:pPr>
        <w:pStyle w:val="Els-Author"/>
        <w:spacing w:before="100" w:beforeAutospacing="1" w:after="100" w:afterAutospacing="1" w:line="360" w:lineRule="auto"/>
        <w:rPr>
          <w:rFonts w:ascii="Arial" w:hAnsi="Arial" w:cs="Arial"/>
          <w:b/>
          <w:bCs/>
          <w:noProof w:val="0"/>
          <w:color w:val="000000"/>
          <w:kern w:val="28"/>
          <w:sz w:val="24"/>
          <w:szCs w:val="24"/>
        </w:rPr>
      </w:pPr>
      <w:r w:rsidRPr="009A63EC">
        <w:rPr>
          <w:rFonts w:ascii="Arial" w:hAnsi="Arial" w:cs="Arial"/>
          <w:b/>
          <w:bCs/>
          <w:noProof w:val="0"/>
          <w:color w:val="000000"/>
          <w:kern w:val="28"/>
          <w:sz w:val="24"/>
          <w:szCs w:val="24"/>
        </w:rPr>
        <w:t xml:space="preserve">Kawthar Abdelgaleil Mohammed Salih </w:t>
      </w:r>
      <w:r w:rsidR="005C65D0" w:rsidRPr="009A63EC">
        <w:rPr>
          <w:rFonts w:ascii="Arial" w:hAnsi="Arial" w:cs="Arial"/>
          <w:b/>
          <w:bCs/>
          <w:noProof w:val="0"/>
          <w:color w:val="000000"/>
          <w:kern w:val="28"/>
          <w:sz w:val="24"/>
          <w:szCs w:val="24"/>
          <w:vertAlign w:val="superscript"/>
        </w:rPr>
        <w:t>1</w:t>
      </w:r>
      <w:r w:rsidRPr="009A63EC">
        <w:rPr>
          <w:rFonts w:ascii="Arial" w:hAnsi="Arial" w:cs="Arial"/>
          <w:b/>
          <w:bCs/>
          <w:noProof w:val="0"/>
          <w:color w:val="000000"/>
          <w:kern w:val="28"/>
          <w:sz w:val="24"/>
          <w:szCs w:val="24"/>
        </w:rPr>
        <w:t>, Hiba Abdelmalik</w:t>
      </w:r>
      <w:r w:rsidR="005C65D0" w:rsidRPr="009A63EC">
        <w:rPr>
          <w:rFonts w:ascii="Arial" w:hAnsi="Arial" w:cs="Arial"/>
          <w:b/>
          <w:bCs/>
          <w:noProof w:val="0"/>
          <w:color w:val="000000"/>
          <w:kern w:val="28"/>
          <w:sz w:val="24"/>
          <w:szCs w:val="24"/>
          <w:vertAlign w:val="superscript"/>
        </w:rPr>
        <w:t>1</w:t>
      </w:r>
      <w:r w:rsidRPr="009A63EC">
        <w:rPr>
          <w:rFonts w:ascii="Arial" w:hAnsi="Arial" w:cs="Arial"/>
          <w:b/>
          <w:bCs/>
          <w:noProof w:val="0"/>
          <w:color w:val="000000"/>
          <w:kern w:val="28"/>
          <w:sz w:val="24"/>
          <w:szCs w:val="24"/>
        </w:rPr>
        <w:t xml:space="preserve"> ,  Hiba Babiker</w:t>
      </w:r>
      <w:r w:rsidR="005C65D0" w:rsidRPr="009A63EC">
        <w:rPr>
          <w:rFonts w:ascii="Arial" w:hAnsi="Arial" w:cs="Arial"/>
          <w:b/>
          <w:bCs/>
          <w:noProof w:val="0"/>
          <w:color w:val="000000"/>
          <w:kern w:val="28"/>
          <w:sz w:val="24"/>
          <w:szCs w:val="24"/>
          <w:vertAlign w:val="superscript"/>
        </w:rPr>
        <w:t>1</w:t>
      </w:r>
      <w:r w:rsidR="005C65D0" w:rsidRPr="009A63EC">
        <w:rPr>
          <w:rFonts w:ascii="Arial" w:hAnsi="Arial" w:cs="Arial"/>
          <w:b/>
          <w:bCs/>
          <w:noProof w:val="0"/>
          <w:color w:val="000000"/>
          <w:kern w:val="28"/>
          <w:sz w:val="24"/>
          <w:szCs w:val="24"/>
        </w:rPr>
        <w:t xml:space="preserve"> </w:t>
      </w:r>
      <w:r w:rsidRPr="009A63EC">
        <w:rPr>
          <w:rFonts w:ascii="Arial" w:hAnsi="Arial" w:cs="Arial"/>
          <w:b/>
          <w:bCs/>
          <w:noProof w:val="0"/>
          <w:color w:val="000000"/>
          <w:kern w:val="28"/>
          <w:sz w:val="24"/>
          <w:szCs w:val="24"/>
        </w:rPr>
        <w:t xml:space="preserve">and Ahmed Bakheet Abd Alla </w:t>
      </w:r>
      <w:r w:rsidR="005C65D0" w:rsidRPr="009A63EC">
        <w:rPr>
          <w:rFonts w:ascii="Arial" w:hAnsi="Arial" w:cs="Arial"/>
          <w:b/>
          <w:bCs/>
          <w:noProof w:val="0"/>
          <w:color w:val="000000"/>
          <w:kern w:val="28"/>
          <w:sz w:val="24"/>
          <w:szCs w:val="24"/>
          <w:vertAlign w:val="superscript"/>
        </w:rPr>
        <w:t>2*</w:t>
      </w:r>
    </w:p>
    <w:p w:rsidR="002F4C5C" w:rsidRPr="009A63EC" w:rsidRDefault="005C65D0" w:rsidP="005C65D0">
      <w:pPr>
        <w:pStyle w:val="Els-Author"/>
        <w:spacing w:before="100" w:beforeAutospacing="1" w:after="100" w:afterAutospacing="1" w:line="360" w:lineRule="auto"/>
        <w:rPr>
          <w:rFonts w:ascii="Arial" w:eastAsia="Calibri" w:hAnsi="Arial" w:cs="Arial"/>
          <w:noProof w:val="0"/>
          <w:sz w:val="24"/>
          <w:szCs w:val="24"/>
          <w:vertAlign w:val="superscript"/>
        </w:rPr>
      </w:pPr>
      <w:r w:rsidRPr="009A63EC">
        <w:rPr>
          <w:rFonts w:ascii="Arial" w:eastAsia="Calibri" w:hAnsi="Arial" w:cs="Arial"/>
          <w:noProof w:val="0"/>
          <w:sz w:val="24"/>
          <w:szCs w:val="24"/>
          <w:vertAlign w:val="superscript"/>
        </w:rPr>
        <w:t xml:space="preserve">1Department of microbiology. </w:t>
      </w:r>
      <w:r w:rsidR="009A63EC">
        <w:rPr>
          <w:rFonts w:ascii="Arial" w:eastAsia="Calibri" w:hAnsi="Arial" w:cs="Arial"/>
          <w:noProof w:val="0"/>
          <w:sz w:val="24"/>
          <w:szCs w:val="24"/>
          <w:vertAlign w:val="superscript"/>
        </w:rPr>
        <w:t>2*</w:t>
      </w:r>
      <w:r w:rsidR="009A63EC" w:rsidRPr="009A63EC">
        <w:rPr>
          <w:rFonts w:ascii="Arial" w:eastAsia="Calibri" w:hAnsi="Arial" w:cs="Arial"/>
          <w:noProof w:val="0"/>
          <w:sz w:val="24"/>
          <w:szCs w:val="24"/>
          <w:vertAlign w:val="superscript"/>
        </w:rPr>
        <w:t xml:space="preserve">Department of Parasitology and medical entomology </w:t>
      </w:r>
      <w:r w:rsidRPr="009A63EC">
        <w:rPr>
          <w:rFonts w:ascii="Arial" w:eastAsia="Calibri" w:hAnsi="Arial" w:cs="Arial"/>
          <w:noProof w:val="0"/>
          <w:sz w:val="24"/>
          <w:szCs w:val="24"/>
          <w:vertAlign w:val="superscript"/>
        </w:rPr>
        <w:t xml:space="preserve">College of medical laboratory science, </w:t>
      </w:r>
      <w:r w:rsidR="002F4C5C" w:rsidRPr="009A63EC">
        <w:rPr>
          <w:rFonts w:ascii="Arial" w:eastAsia="Calibri" w:hAnsi="Arial" w:cs="Arial"/>
          <w:noProof w:val="0"/>
          <w:sz w:val="24"/>
          <w:szCs w:val="24"/>
          <w:vertAlign w:val="superscript"/>
        </w:rPr>
        <w:t>Sudan University for Science and Technology, Khartoum, Sudan</w:t>
      </w:r>
    </w:p>
    <w:p w:rsidR="002F4C5C" w:rsidRPr="00D2517C" w:rsidRDefault="002F4C5C" w:rsidP="002F4C5C">
      <w:pPr>
        <w:spacing w:after="0" w:line="360" w:lineRule="auto"/>
        <w:jc w:val="center"/>
        <w:rPr>
          <w:rFonts w:asciiTheme="majorBidi" w:hAnsiTheme="majorBidi" w:cstheme="majorBidi"/>
          <w:i/>
          <w:iCs/>
          <w:sz w:val="20"/>
          <w:szCs w:val="20"/>
        </w:rPr>
      </w:pPr>
    </w:p>
    <w:p w:rsidR="005C65D0" w:rsidRPr="009A63EC" w:rsidRDefault="005C65D0" w:rsidP="002F4C5C">
      <w:pPr>
        <w:spacing w:after="0" w:line="360" w:lineRule="auto"/>
        <w:jc w:val="center"/>
        <w:rPr>
          <w:rFonts w:ascii="Arial" w:eastAsia="Times New Roman" w:hAnsi="Arial" w:cs="Arial"/>
          <w:color w:val="000000"/>
          <w:kern w:val="28"/>
          <w:sz w:val="24"/>
          <w:szCs w:val="24"/>
        </w:rPr>
      </w:pPr>
      <w:r w:rsidRPr="009A63EC">
        <w:rPr>
          <w:rFonts w:ascii="Arial" w:eastAsia="Times New Roman" w:hAnsi="Arial" w:cs="Arial"/>
          <w:color w:val="000000"/>
          <w:kern w:val="28"/>
          <w:sz w:val="24"/>
          <w:szCs w:val="24"/>
        </w:rPr>
        <w:t>*Email: ahmed.hassanab@gmail.com</w:t>
      </w:r>
    </w:p>
    <w:p w:rsidR="005C65D0" w:rsidRPr="009A63EC" w:rsidRDefault="002F4C5C" w:rsidP="009A63EC">
      <w:pPr>
        <w:spacing w:line="360" w:lineRule="auto"/>
        <w:jc w:val="both"/>
        <w:rPr>
          <w:rFonts w:ascii="Arial" w:eastAsia="Times New Roman" w:hAnsi="Arial" w:cs="Arial"/>
          <w:color w:val="000000"/>
          <w:kern w:val="28"/>
          <w:sz w:val="24"/>
          <w:szCs w:val="24"/>
        </w:rPr>
      </w:pPr>
      <w:r w:rsidRPr="009A63EC">
        <w:rPr>
          <w:rFonts w:ascii="Arial" w:eastAsia="Times New Roman" w:hAnsi="Arial" w:cs="Arial"/>
          <w:b/>
          <w:bCs/>
          <w:color w:val="000000"/>
          <w:kern w:val="28"/>
          <w:sz w:val="24"/>
          <w:szCs w:val="24"/>
        </w:rPr>
        <w:t>Abstract</w:t>
      </w:r>
      <w:r w:rsidR="009A63EC">
        <w:rPr>
          <w:rFonts w:ascii="Arial" w:eastAsia="Times New Roman" w:hAnsi="Arial" w:cs="Arial"/>
          <w:b/>
          <w:bCs/>
          <w:color w:val="000000"/>
          <w:kern w:val="28"/>
          <w:sz w:val="24"/>
          <w:szCs w:val="24"/>
        </w:rPr>
        <w:t xml:space="preserve">: </w:t>
      </w:r>
      <w:r w:rsidRPr="009A63EC">
        <w:rPr>
          <w:rFonts w:ascii="Arial" w:eastAsia="Times New Roman" w:hAnsi="Arial" w:cs="Arial"/>
          <w:color w:val="000000"/>
          <w:kern w:val="28"/>
          <w:sz w:val="24"/>
          <w:szCs w:val="24"/>
        </w:rPr>
        <w:t xml:space="preserve">Oral contraceptive pills are problems for women, often have many effects and may cause several diseases. </w:t>
      </w:r>
      <w:r w:rsidR="00135875" w:rsidRPr="009A63EC">
        <w:rPr>
          <w:rFonts w:ascii="Arial" w:eastAsia="Times New Roman" w:hAnsi="Arial" w:cs="Arial"/>
          <w:color w:val="000000"/>
          <w:kern w:val="28"/>
          <w:sz w:val="24"/>
          <w:szCs w:val="24"/>
        </w:rPr>
        <w:t>The purpose of this research was to determine the effect of oral contraceptive pills on factor V sufferers.</w:t>
      </w:r>
      <w:r w:rsidR="005C65D0" w:rsidRPr="009A63EC">
        <w:rPr>
          <w:rFonts w:ascii="Arial" w:eastAsia="Times New Roman" w:hAnsi="Arial" w:cs="Arial"/>
          <w:color w:val="000000"/>
          <w:kern w:val="28"/>
          <w:sz w:val="24"/>
          <w:szCs w:val="24"/>
        </w:rPr>
        <w:t xml:space="preserve"> </w:t>
      </w:r>
    </w:p>
    <w:p w:rsidR="00135875" w:rsidRPr="009A63EC" w:rsidRDefault="00135875" w:rsidP="005C65D0">
      <w:pPr>
        <w:spacing w:line="360" w:lineRule="auto"/>
        <w:jc w:val="both"/>
        <w:rPr>
          <w:rFonts w:ascii="Arial" w:eastAsia="Times New Roman" w:hAnsi="Arial" w:cs="Arial"/>
          <w:color w:val="000000"/>
          <w:kern w:val="28"/>
          <w:sz w:val="24"/>
          <w:szCs w:val="24"/>
        </w:rPr>
      </w:pPr>
      <w:r w:rsidRPr="009A63EC">
        <w:rPr>
          <w:rFonts w:ascii="Arial" w:eastAsia="Times New Roman" w:hAnsi="Arial" w:cs="Arial"/>
          <w:color w:val="000000"/>
          <w:kern w:val="28"/>
          <w:sz w:val="24"/>
          <w:szCs w:val="24"/>
        </w:rPr>
        <w:t>This case control study was conducted in Khartoum, Sudan, during the period from April to November 2018</w:t>
      </w:r>
      <w:r w:rsidR="002F4C5C" w:rsidRPr="009A63EC">
        <w:rPr>
          <w:rFonts w:ascii="Arial" w:eastAsia="Times New Roman" w:hAnsi="Arial" w:cs="Arial"/>
          <w:color w:val="000000"/>
          <w:kern w:val="28"/>
          <w:sz w:val="24"/>
          <w:szCs w:val="24"/>
        </w:rPr>
        <w:t xml:space="preserve">. </w:t>
      </w:r>
      <w:r w:rsidRPr="009A63EC">
        <w:rPr>
          <w:rFonts w:ascii="Arial" w:eastAsia="Times New Roman" w:hAnsi="Arial" w:cs="Arial"/>
          <w:color w:val="000000"/>
          <w:kern w:val="28"/>
          <w:sz w:val="24"/>
          <w:szCs w:val="24"/>
        </w:rPr>
        <w:t>The study included 50 women who used oral contraceptive as a case and 50 women who did not use oral contraceptive pills as a control, all of whom were verbally informed of the study and approved for participation. The PCR was done for each sample.</w:t>
      </w:r>
    </w:p>
    <w:p w:rsidR="00CD5632" w:rsidRPr="009A63EC" w:rsidRDefault="00135875" w:rsidP="00135875">
      <w:pPr>
        <w:spacing w:line="360" w:lineRule="auto"/>
        <w:jc w:val="both"/>
        <w:rPr>
          <w:rFonts w:ascii="Arial" w:eastAsia="Times New Roman" w:hAnsi="Arial" w:cs="Arial"/>
          <w:color w:val="000000"/>
          <w:kern w:val="28"/>
          <w:sz w:val="24"/>
          <w:szCs w:val="24"/>
        </w:rPr>
      </w:pPr>
      <w:r w:rsidRPr="009A63EC">
        <w:rPr>
          <w:rFonts w:ascii="Arial" w:eastAsia="Times New Roman" w:hAnsi="Arial" w:cs="Arial"/>
          <w:color w:val="000000"/>
          <w:kern w:val="28"/>
          <w:sz w:val="24"/>
          <w:szCs w:val="24"/>
        </w:rPr>
        <w:t>The results obtained from cases show that the mean age is 30±5.5 and divided into three groups less than 20 with a lower frequency of 4 % (2/50), (20-35) with a higher frequency of 80 % (40/50) and a higher frequency of 16 % (8/50) for more than 35 years. Most cases use oral contraceptive pill for more than 1 year at a frequency of 60 % (30/50) with a mean of 2±0.8.</w:t>
      </w:r>
      <w:r w:rsidR="002F4C5C" w:rsidRPr="009A63EC">
        <w:rPr>
          <w:rFonts w:ascii="Arial" w:eastAsia="Times New Roman" w:hAnsi="Arial" w:cs="Arial"/>
          <w:color w:val="000000"/>
          <w:kern w:val="28"/>
          <w:sz w:val="24"/>
          <w:szCs w:val="24"/>
        </w:rPr>
        <w:t>The most frequent oral contraceptive pill use was levonorgestrel</w:t>
      </w:r>
      <w:r w:rsidR="00CD5632" w:rsidRPr="009A63EC">
        <w:rPr>
          <w:rFonts w:ascii="Arial" w:eastAsia="Times New Roman" w:hAnsi="Arial" w:cs="Arial"/>
          <w:color w:val="000000"/>
          <w:kern w:val="28"/>
          <w:sz w:val="24"/>
          <w:szCs w:val="24"/>
        </w:rPr>
        <w:t xml:space="preserve"> </w:t>
      </w:r>
      <w:r w:rsidR="002F4C5C" w:rsidRPr="009A63EC">
        <w:rPr>
          <w:rFonts w:ascii="Arial" w:eastAsia="Times New Roman" w:hAnsi="Arial" w:cs="Arial"/>
          <w:color w:val="000000"/>
          <w:kern w:val="28"/>
          <w:sz w:val="24"/>
          <w:szCs w:val="24"/>
        </w:rPr>
        <w:t>88%(44/50) followed by desogestrel</w:t>
      </w:r>
      <w:r w:rsidR="00CD5632" w:rsidRPr="009A63EC">
        <w:rPr>
          <w:rFonts w:ascii="Arial" w:eastAsia="Times New Roman" w:hAnsi="Arial" w:cs="Arial"/>
          <w:color w:val="000000"/>
          <w:kern w:val="28"/>
          <w:sz w:val="24"/>
          <w:szCs w:val="24"/>
        </w:rPr>
        <w:t xml:space="preserve"> </w:t>
      </w:r>
      <w:r w:rsidR="002F4C5C" w:rsidRPr="009A63EC">
        <w:rPr>
          <w:rFonts w:ascii="Arial" w:eastAsia="Times New Roman" w:hAnsi="Arial" w:cs="Arial"/>
          <w:color w:val="000000"/>
          <w:kern w:val="28"/>
          <w:sz w:val="24"/>
          <w:szCs w:val="24"/>
        </w:rPr>
        <w:t>12%</w:t>
      </w:r>
      <w:r w:rsidR="00CD5632" w:rsidRPr="009A63EC">
        <w:rPr>
          <w:rFonts w:ascii="Arial" w:eastAsia="Times New Roman" w:hAnsi="Arial" w:cs="Arial"/>
          <w:color w:val="000000"/>
          <w:kern w:val="28"/>
          <w:sz w:val="24"/>
          <w:szCs w:val="24"/>
        </w:rPr>
        <w:t xml:space="preserve"> </w:t>
      </w:r>
      <w:r w:rsidR="002F4C5C" w:rsidRPr="009A63EC">
        <w:rPr>
          <w:rFonts w:ascii="Arial" w:eastAsia="Times New Roman" w:hAnsi="Arial" w:cs="Arial"/>
          <w:color w:val="000000"/>
          <w:kern w:val="28"/>
          <w:sz w:val="24"/>
          <w:szCs w:val="24"/>
        </w:rPr>
        <w:t xml:space="preserve">(6/50). </w:t>
      </w:r>
    </w:p>
    <w:p w:rsidR="009824CA" w:rsidRPr="009A63EC" w:rsidRDefault="009824CA" w:rsidP="009824CA">
      <w:pPr>
        <w:spacing w:line="360" w:lineRule="auto"/>
        <w:jc w:val="both"/>
        <w:rPr>
          <w:rFonts w:ascii="Arial" w:eastAsia="Times New Roman" w:hAnsi="Arial" w:cs="Arial"/>
          <w:color w:val="000000"/>
          <w:kern w:val="28"/>
          <w:sz w:val="24"/>
          <w:szCs w:val="24"/>
        </w:rPr>
      </w:pPr>
      <w:r w:rsidRPr="009A63EC">
        <w:rPr>
          <w:rFonts w:ascii="Arial" w:eastAsia="Times New Roman" w:hAnsi="Arial" w:cs="Arial"/>
          <w:color w:val="000000"/>
          <w:kern w:val="28"/>
          <w:sz w:val="24"/>
          <w:szCs w:val="24"/>
        </w:rPr>
        <w:t xml:space="preserve">The study concludes that there is no significant difference in gene mutation between case and control. There was also an insignificant association between mutation and demographic data </w:t>
      </w:r>
    </w:p>
    <w:p w:rsidR="002F4C5C" w:rsidRPr="00D2517C" w:rsidRDefault="002F4C5C" w:rsidP="009824CA">
      <w:pPr>
        <w:spacing w:line="360" w:lineRule="auto"/>
        <w:jc w:val="both"/>
        <w:rPr>
          <w:rFonts w:asciiTheme="minorBidi" w:hAnsiTheme="minorBidi"/>
          <w:sz w:val="24"/>
          <w:szCs w:val="24"/>
        </w:rPr>
      </w:pPr>
      <w:r w:rsidRPr="009A63EC">
        <w:rPr>
          <w:rFonts w:ascii="Arial" w:eastAsia="Times New Roman" w:hAnsi="Arial" w:cs="Arial"/>
          <w:b/>
          <w:bCs/>
          <w:iCs/>
          <w:color w:val="000000"/>
          <w:kern w:val="28"/>
          <w:sz w:val="24"/>
          <w:szCs w:val="24"/>
        </w:rPr>
        <w:t>Keywords:</w:t>
      </w:r>
      <w:r w:rsidRPr="00D2517C">
        <w:rPr>
          <w:rFonts w:asciiTheme="minorBidi" w:hAnsiTheme="minorBidi"/>
          <w:sz w:val="24"/>
          <w:szCs w:val="24"/>
        </w:rPr>
        <w:t xml:space="preserve"> </w:t>
      </w:r>
      <w:r w:rsidRPr="009A63EC">
        <w:rPr>
          <w:rFonts w:ascii="Arial" w:eastAsia="Times New Roman" w:hAnsi="Arial" w:cs="Arial"/>
          <w:color w:val="000000"/>
          <w:kern w:val="28"/>
          <w:sz w:val="24"/>
          <w:szCs w:val="24"/>
        </w:rPr>
        <w:t>Factor V Leiden; Oral Contraceptive; Mutation; polymerase chain reaction (PCR).</w:t>
      </w:r>
    </w:p>
    <w:p w:rsidR="009A63EC" w:rsidRDefault="009A63EC" w:rsidP="009A63EC">
      <w:pPr>
        <w:widowControl w:val="0"/>
        <w:overflowPunct w:val="0"/>
        <w:autoSpaceDE w:val="0"/>
        <w:autoSpaceDN w:val="0"/>
        <w:adjustRightInd w:val="0"/>
        <w:spacing w:after="0" w:line="240" w:lineRule="auto"/>
        <w:rPr>
          <w:rFonts w:ascii="Arial" w:eastAsia="Times New Roman" w:hAnsi="Arial" w:cs="Arial"/>
          <w:b/>
          <w:bCs/>
          <w:color w:val="000000"/>
          <w:kern w:val="28"/>
          <w:sz w:val="24"/>
          <w:szCs w:val="24"/>
        </w:rPr>
      </w:pPr>
    </w:p>
    <w:p w:rsidR="009A63EC" w:rsidRDefault="009A63EC" w:rsidP="009A63EC">
      <w:pPr>
        <w:widowControl w:val="0"/>
        <w:overflowPunct w:val="0"/>
        <w:autoSpaceDE w:val="0"/>
        <w:autoSpaceDN w:val="0"/>
        <w:adjustRightInd w:val="0"/>
        <w:spacing w:after="0" w:line="240" w:lineRule="auto"/>
        <w:rPr>
          <w:rFonts w:ascii="Arial" w:eastAsia="Times New Roman" w:hAnsi="Arial" w:cs="Arial"/>
          <w:b/>
          <w:bCs/>
          <w:color w:val="000000"/>
          <w:kern w:val="28"/>
          <w:sz w:val="24"/>
          <w:szCs w:val="24"/>
        </w:rPr>
      </w:pPr>
    </w:p>
    <w:p w:rsidR="009A63EC" w:rsidRDefault="009A63EC" w:rsidP="009A63EC">
      <w:pPr>
        <w:widowControl w:val="0"/>
        <w:overflowPunct w:val="0"/>
        <w:autoSpaceDE w:val="0"/>
        <w:autoSpaceDN w:val="0"/>
        <w:adjustRightInd w:val="0"/>
        <w:spacing w:after="0" w:line="240" w:lineRule="auto"/>
        <w:rPr>
          <w:rFonts w:ascii="Arial" w:eastAsia="Times New Roman" w:hAnsi="Arial" w:cs="Arial"/>
          <w:b/>
          <w:bCs/>
          <w:color w:val="000000"/>
          <w:kern w:val="28"/>
          <w:sz w:val="24"/>
          <w:szCs w:val="24"/>
        </w:rPr>
      </w:pPr>
    </w:p>
    <w:p w:rsidR="002F4C5C" w:rsidRPr="009A63EC" w:rsidRDefault="009A63EC" w:rsidP="009A63EC">
      <w:pPr>
        <w:widowControl w:val="0"/>
        <w:overflowPunct w:val="0"/>
        <w:autoSpaceDE w:val="0"/>
        <w:autoSpaceDN w:val="0"/>
        <w:adjustRightInd w:val="0"/>
        <w:spacing w:after="0" w:line="240" w:lineRule="auto"/>
        <w:rPr>
          <w:rFonts w:ascii="Arial" w:eastAsia="Times New Roman" w:hAnsi="Arial" w:cs="Arial"/>
          <w:b/>
          <w:bCs/>
          <w:color w:val="000000"/>
          <w:kern w:val="28"/>
          <w:sz w:val="24"/>
          <w:szCs w:val="24"/>
        </w:rPr>
      </w:pPr>
      <w:r w:rsidRPr="009A63EC">
        <w:rPr>
          <w:rFonts w:ascii="Arial" w:eastAsia="Times New Roman" w:hAnsi="Arial" w:cs="Arial"/>
          <w:b/>
          <w:bCs/>
          <w:color w:val="000000"/>
          <w:kern w:val="28"/>
          <w:sz w:val="24"/>
          <w:szCs w:val="24"/>
        </w:rPr>
        <w:lastRenderedPageBreak/>
        <w:t xml:space="preserve">INTRODUCTION </w:t>
      </w:r>
    </w:p>
    <w:p w:rsidR="002F4C5C" w:rsidRPr="009A63EC" w:rsidRDefault="009A63EC" w:rsidP="00D2517C">
      <w:pPr>
        <w:spacing w:line="360" w:lineRule="auto"/>
        <w:jc w:val="both"/>
        <w:rPr>
          <w:rFonts w:ascii="Arial" w:eastAsia="Calibri" w:hAnsi="Arial" w:cs="Arial"/>
          <w:iCs/>
          <w:color w:val="000000"/>
          <w:kern w:val="28"/>
          <w:sz w:val="24"/>
          <w:szCs w:val="24"/>
        </w:rPr>
      </w:pPr>
      <w:r>
        <w:rPr>
          <w:rFonts w:ascii="Arial" w:eastAsia="Calibri" w:hAnsi="Arial" w:cs="Arial"/>
          <w:iCs/>
          <w:color w:val="000000"/>
          <w:kern w:val="28"/>
          <w:sz w:val="24"/>
          <w:szCs w:val="24"/>
        </w:rPr>
        <w:t xml:space="preserve">          </w:t>
      </w:r>
      <w:r w:rsidR="009824CA" w:rsidRPr="009A63EC">
        <w:rPr>
          <w:rFonts w:ascii="Arial" w:eastAsia="Calibri" w:hAnsi="Arial" w:cs="Arial"/>
          <w:iCs/>
          <w:color w:val="000000"/>
          <w:kern w:val="28"/>
          <w:sz w:val="24"/>
          <w:szCs w:val="24"/>
        </w:rPr>
        <w:t xml:space="preserve">Oral contraceptives (OCs) also known as pills are the most popular form of contraception </w:t>
      </w:r>
      <w:r w:rsidR="002F4C5C" w:rsidRPr="009A63EC">
        <w:rPr>
          <w:rFonts w:ascii="Arial" w:eastAsia="Calibri" w:hAnsi="Arial" w:cs="Arial"/>
          <w:iCs/>
          <w:color w:val="000000"/>
          <w:kern w:val="28"/>
          <w:sz w:val="24"/>
          <w:szCs w:val="24"/>
        </w:rPr>
        <w:t xml:space="preserve">(Dhont, 2010). </w:t>
      </w:r>
      <w:r w:rsidR="00E96FC3" w:rsidRPr="009A63EC">
        <w:rPr>
          <w:rFonts w:ascii="Arial" w:eastAsia="Calibri" w:hAnsi="Arial" w:cs="Arial"/>
          <w:iCs/>
          <w:color w:val="000000"/>
          <w:kern w:val="28"/>
          <w:sz w:val="24"/>
          <w:szCs w:val="24"/>
        </w:rPr>
        <w:t>The key mechanism of action is ovulation suppression and, in addition, the oral contraceptive produces endometrium that is not receptive to ovum implantation and cervical mucus that has become dense and hostile to sperm transport</w:t>
      </w:r>
      <w:r w:rsidR="009824CA" w:rsidRPr="009A63EC">
        <w:rPr>
          <w:rFonts w:ascii="Arial" w:eastAsia="Calibri" w:hAnsi="Arial" w:cs="Arial"/>
          <w:iCs/>
          <w:color w:val="000000"/>
          <w:kern w:val="28"/>
          <w:sz w:val="24"/>
          <w:szCs w:val="24"/>
        </w:rPr>
        <w:t xml:space="preserve"> </w:t>
      </w:r>
      <w:r w:rsidR="002F4C5C" w:rsidRPr="009A63EC">
        <w:rPr>
          <w:rFonts w:ascii="Arial" w:eastAsia="Calibri" w:hAnsi="Arial" w:cs="Arial"/>
          <w:iCs/>
          <w:color w:val="000000"/>
          <w:kern w:val="28"/>
          <w:sz w:val="24"/>
          <w:szCs w:val="24"/>
        </w:rPr>
        <w:t>(Hall et al., 2010).</w:t>
      </w:r>
    </w:p>
    <w:p w:rsidR="002F4C5C" w:rsidRPr="009A63EC" w:rsidRDefault="009824CA" w:rsidP="009824CA">
      <w:pPr>
        <w:tabs>
          <w:tab w:val="left" w:pos="4985"/>
        </w:tabs>
        <w:spacing w:line="360" w:lineRule="auto"/>
        <w:jc w:val="both"/>
        <w:rPr>
          <w:rFonts w:ascii="Arial" w:eastAsia="Calibri" w:hAnsi="Arial" w:cs="Arial"/>
          <w:iCs/>
          <w:color w:val="000000"/>
          <w:kern w:val="28"/>
          <w:sz w:val="24"/>
          <w:szCs w:val="24"/>
        </w:rPr>
      </w:pPr>
      <w:r w:rsidRPr="009A63EC">
        <w:rPr>
          <w:rFonts w:ascii="Arial" w:eastAsia="Calibri" w:hAnsi="Arial" w:cs="Arial"/>
          <w:iCs/>
          <w:color w:val="000000"/>
          <w:kern w:val="28"/>
          <w:sz w:val="24"/>
          <w:szCs w:val="24"/>
        </w:rPr>
        <w:t>Various types of oral contraceptives exist; combined oral contraceptives (COCs) containing estrogen and progestin</w:t>
      </w:r>
      <w:r w:rsidR="002F4C5C" w:rsidRPr="009A63EC">
        <w:rPr>
          <w:rFonts w:ascii="Arial" w:eastAsia="Calibri" w:hAnsi="Arial" w:cs="Arial"/>
          <w:iCs/>
          <w:color w:val="000000"/>
          <w:kern w:val="28"/>
          <w:sz w:val="24"/>
          <w:szCs w:val="24"/>
        </w:rPr>
        <w:t xml:space="preserve"> (Kiley and Hammond, 2007), and </w:t>
      </w:r>
      <w:r w:rsidRPr="009A63EC">
        <w:rPr>
          <w:rFonts w:ascii="Arial" w:eastAsia="Calibri" w:hAnsi="Arial" w:cs="Arial"/>
          <w:iCs/>
          <w:color w:val="000000"/>
          <w:kern w:val="28"/>
          <w:sz w:val="24"/>
          <w:szCs w:val="24"/>
        </w:rPr>
        <w:t xml:space="preserve">Progestin-only contraception (POPs) containing progestin but no estrogen containing this drug referred to as a mini pill </w:t>
      </w:r>
      <w:r w:rsidR="002F4C5C" w:rsidRPr="009A63EC">
        <w:rPr>
          <w:rFonts w:ascii="Arial" w:eastAsia="Calibri" w:hAnsi="Arial" w:cs="Arial"/>
          <w:iCs/>
          <w:color w:val="000000"/>
          <w:kern w:val="28"/>
          <w:sz w:val="24"/>
          <w:szCs w:val="24"/>
        </w:rPr>
        <w:t>(Adamopoulou &amp; Vgenopoulou, 2015; Renner &amp; Edelman, 2016).</w:t>
      </w:r>
    </w:p>
    <w:p w:rsidR="002F4C5C" w:rsidRPr="009A63EC" w:rsidRDefault="009824CA" w:rsidP="009824CA">
      <w:pPr>
        <w:spacing w:line="360" w:lineRule="auto"/>
        <w:jc w:val="both"/>
        <w:rPr>
          <w:rFonts w:ascii="Arial" w:eastAsia="Calibri" w:hAnsi="Arial" w:cs="Arial"/>
          <w:iCs/>
          <w:color w:val="000000"/>
          <w:kern w:val="28"/>
          <w:sz w:val="24"/>
          <w:szCs w:val="24"/>
        </w:rPr>
      </w:pPr>
      <w:r w:rsidRPr="009A63EC">
        <w:rPr>
          <w:rFonts w:ascii="Arial" w:eastAsia="Calibri" w:hAnsi="Arial" w:cs="Arial"/>
          <w:iCs/>
          <w:color w:val="000000"/>
          <w:kern w:val="28"/>
          <w:sz w:val="24"/>
          <w:szCs w:val="24"/>
        </w:rPr>
        <w:t xml:space="preserve">Oral contraceptive estrogen raises the amount of clotting factors (II, VII, XII, VIII) in plasma </w:t>
      </w:r>
      <w:r w:rsidR="002F4C5C" w:rsidRPr="009A63EC">
        <w:rPr>
          <w:rFonts w:ascii="Arial" w:eastAsia="Calibri" w:hAnsi="Arial" w:cs="Arial"/>
          <w:iCs/>
          <w:color w:val="000000"/>
          <w:kern w:val="28"/>
          <w:sz w:val="24"/>
          <w:szCs w:val="24"/>
        </w:rPr>
        <w:t xml:space="preserve">(van Rooijen et al., 2002),  </w:t>
      </w:r>
      <w:r w:rsidRPr="009A63EC">
        <w:rPr>
          <w:rFonts w:ascii="Arial" w:eastAsia="Calibri" w:hAnsi="Arial" w:cs="Arial"/>
          <w:iCs/>
          <w:color w:val="000000"/>
          <w:kern w:val="28"/>
          <w:sz w:val="24"/>
          <w:szCs w:val="24"/>
        </w:rPr>
        <w:t xml:space="preserve">Fibrinogen and thrombin activable fibrinolysis inhibitors by influencing gene transcription of different proteins </w:t>
      </w:r>
      <w:r w:rsidR="002F4C5C" w:rsidRPr="009A63EC">
        <w:rPr>
          <w:rFonts w:ascii="Arial" w:eastAsia="Calibri" w:hAnsi="Arial" w:cs="Arial"/>
          <w:iCs/>
          <w:color w:val="000000"/>
          <w:kern w:val="28"/>
          <w:sz w:val="24"/>
          <w:szCs w:val="24"/>
        </w:rPr>
        <w:t xml:space="preserve">(Hoppe, 2014). </w:t>
      </w:r>
      <w:r w:rsidRPr="009A63EC">
        <w:rPr>
          <w:rFonts w:ascii="Arial" w:eastAsia="Calibri" w:hAnsi="Arial" w:cs="Arial"/>
          <w:iCs/>
          <w:color w:val="000000"/>
          <w:kern w:val="28"/>
          <w:sz w:val="24"/>
          <w:szCs w:val="24"/>
        </w:rPr>
        <w:t xml:space="preserve">Estrogen crosses a cell membrane for a specific target tissue within a cytoplasm attached to a nuclear receptor </w:t>
      </w:r>
      <w:r w:rsidR="002F4C5C" w:rsidRPr="009A63EC">
        <w:rPr>
          <w:rFonts w:ascii="Arial" w:eastAsia="Calibri" w:hAnsi="Arial" w:cs="Arial"/>
          <w:iCs/>
          <w:color w:val="000000"/>
          <w:kern w:val="28"/>
          <w:sz w:val="24"/>
          <w:szCs w:val="24"/>
        </w:rPr>
        <w:t xml:space="preserve">(Bassett et al., 2003). </w:t>
      </w:r>
      <w:r w:rsidRPr="009A63EC">
        <w:rPr>
          <w:rFonts w:ascii="Arial" w:eastAsia="Calibri" w:hAnsi="Arial" w:cs="Arial"/>
          <w:iCs/>
          <w:color w:val="000000"/>
          <w:kern w:val="28"/>
          <w:sz w:val="24"/>
          <w:szCs w:val="24"/>
        </w:rPr>
        <w:t>Estrogen – a nuclear receptor complex then moves to the nucleus where it identifies and binds to unique recognition sites that contribute to gene transcription by allowing RNA Polymerase II to transcribe proteins to that DNA region in this case, new proteins are the coagulation factors</w:t>
      </w:r>
      <w:r w:rsidR="002F4C5C" w:rsidRPr="009A63EC">
        <w:rPr>
          <w:rFonts w:ascii="Arial" w:eastAsia="Calibri" w:hAnsi="Arial" w:cs="Arial"/>
          <w:iCs/>
          <w:color w:val="000000"/>
          <w:kern w:val="28"/>
          <w:sz w:val="24"/>
          <w:szCs w:val="24"/>
        </w:rPr>
        <w:t xml:space="preserve">  (Trenor et al., 2011; Aranda &amp; Pascual, 2001).</w:t>
      </w:r>
    </w:p>
    <w:p w:rsidR="002F4C5C" w:rsidRPr="009A63EC" w:rsidRDefault="009824CA" w:rsidP="00E96FC3">
      <w:pPr>
        <w:spacing w:line="360" w:lineRule="auto"/>
        <w:jc w:val="both"/>
        <w:rPr>
          <w:rFonts w:ascii="Arial" w:eastAsia="Calibri" w:hAnsi="Arial" w:cs="Arial"/>
          <w:iCs/>
          <w:color w:val="000000"/>
          <w:kern w:val="28"/>
          <w:sz w:val="24"/>
          <w:szCs w:val="24"/>
        </w:rPr>
      </w:pPr>
      <w:r w:rsidRPr="009A63EC">
        <w:rPr>
          <w:rFonts w:ascii="Arial" w:eastAsia="Calibri" w:hAnsi="Arial" w:cs="Arial"/>
          <w:iCs/>
          <w:color w:val="000000"/>
          <w:kern w:val="28"/>
          <w:sz w:val="24"/>
          <w:szCs w:val="24"/>
        </w:rPr>
        <w:t xml:space="preserve">Factor V is one of several substances that helps blood clots to increase blood clotting </w:t>
      </w:r>
      <w:r w:rsidR="002F4C5C" w:rsidRPr="009A63EC">
        <w:rPr>
          <w:rFonts w:ascii="Arial" w:eastAsia="Calibri" w:hAnsi="Arial" w:cs="Arial"/>
          <w:iCs/>
          <w:color w:val="000000"/>
          <w:kern w:val="28"/>
          <w:sz w:val="24"/>
          <w:szCs w:val="24"/>
        </w:rPr>
        <w:t xml:space="preserve">(Fogelson, &amp; Neeves, 2015), </w:t>
      </w:r>
      <w:r w:rsidR="00E96FC3" w:rsidRPr="009A63EC">
        <w:rPr>
          <w:rFonts w:ascii="Arial" w:eastAsia="Calibri" w:hAnsi="Arial" w:cs="Arial"/>
          <w:iCs/>
          <w:color w:val="000000"/>
          <w:kern w:val="28"/>
          <w:sz w:val="24"/>
          <w:szCs w:val="24"/>
        </w:rPr>
        <w:t>The clotting action of factor V is regulated by anther protein called the activated protein C dose that does not function well with the abnormal factor V suffering protein factor V</w:t>
      </w:r>
      <w:r w:rsidR="002F4C5C" w:rsidRPr="009A63EC">
        <w:rPr>
          <w:rFonts w:ascii="Arial" w:eastAsia="Calibri" w:hAnsi="Arial" w:cs="Arial"/>
          <w:iCs/>
          <w:color w:val="000000"/>
          <w:kern w:val="28"/>
          <w:sz w:val="24"/>
          <w:szCs w:val="24"/>
        </w:rPr>
        <w:t xml:space="preserve"> (Levi &amp; van der Poll, 2013</w:t>
      </w:r>
      <w:r w:rsidR="00E96FC3" w:rsidRPr="009A63EC">
        <w:rPr>
          <w:rFonts w:ascii="Arial" w:eastAsia="Calibri" w:hAnsi="Arial" w:cs="Arial"/>
          <w:iCs/>
          <w:color w:val="000000"/>
          <w:kern w:val="28"/>
          <w:sz w:val="24"/>
          <w:szCs w:val="24"/>
        </w:rPr>
        <w:t>) and increase the chance of developing deep vein blood clot (DVT) in the leg or lung (pulmonary embolus)</w:t>
      </w:r>
      <w:r w:rsidR="009B1468" w:rsidRPr="009A63EC">
        <w:rPr>
          <w:rFonts w:ascii="Arial" w:eastAsia="Calibri" w:hAnsi="Arial" w:cs="Arial"/>
          <w:iCs/>
          <w:color w:val="000000"/>
          <w:kern w:val="28"/>
          <w:sz w:val="24"/>
          <w:szCs w:val="24"/>
        </w:rPr>
        <w:t xml:space="preserve"> (Gruber and Bull, 2012).</w:t>
      </w:r>
    </w:p>
    <w:p w:rsidR="002F4C5C" w:rsidRDefault="009A63EC" w:rsidP="009A63EC">
      <w:pPr>
        <w:suppressAutoHyphens/>
        <w:spacing w:after="0" w:line="240" w:lineRule="auto"/>
        <w:jc w:val="both"/>
        <w:rPr>
          <w:rFonts w:asciiTheme="minorBidi" w:eastAsia="Times New Roman" w:hAnsiTheme="minorBidi"/>
          <w:b/>
          <w:bCs/>
          <w:i/>
          <w:iCs/>
          <w:sz w:val="24"/>
          <w:szCs w:val="24"/>
        </w:rPr>
      </w:pPr>
      <w:r w:rsidRPr="009A63EC">
        <w:rPr>
          <w:rFonts w:ascii="Arial" w:eastAsia="Times New Roman" w:hAnsi="Arial" w:cs="Arial"/>
          <w:b/>
          <w:bCs/>
          <w:color w:val="000000"/>
          <w:kern w:val="28"/>
          <w:sz w:val="24"/>
          <w:szCs w:val="24"/>
        </w:rPr>
        <w:t>METHOD AND MATERIAL</w:t>
      </w:r>
    </w:p>
    <w:p w:rsidR="009A63EC" w:rsidRPr="00D2517C" w:rsidRDefault="009A63EC" w:rsidP="009A63EC">
      <w:pPr>
        <w:suppressAutoHyphens/>
        <w:spacing w:after="0" w:line="240" w:lineRule="auto"/>
        <w:jc w:val="both"/>
        <w:rPr>
          <w:rFonts w:asciiTheme="minorBidi" w:eastAsia="Times New Roman" w:hAnsiTheme="minorBidi"/>
          <w:i/>
          <w:iCs/>
          <w:sz w:val="24"/>
          <w:szCs w:val="24"/>
          <w:rtl/>
        </w:rPr>
      </w:pPr>
    </w:p>
    <w:p w:rsidR="002F4C5C" w:rsidRPr="00D2517C" w:rsidRDefault="009A63EC" w:rsidP="008A6CD6">
      <w:pPr>
        <w:spacing w:line="360" w:lineRule="auto"/>
        <w:jc w:val="both"/>
        <w:rPr>
          <w:rFonts w:asciiTheme="minorBidi" w:eastAsia="Times New Roman" w:hAnsiTheme="minorBidi"/>
          <w:sz w:val="24"/>
          <w:szCs w:val="24"/>
        </w:rPr>
      </w:pPr>
      <w:r>
        <w:rPr>
          <w:rFonts w:asciiTheme="minorBidi" w:eastAsia="Times New Roman" w:hAnsiTheme="minorBidi"/>
          <w:sz w:val="24"/>
          <w:szCs w:val="24"/>
        </w:rPr>
        <w:t xml:space="preserve">             </w:t>
      </w:r>
      <w:r w:rsidR="002F4C5C" w:rsidRPr="00D2517C">
        <w:rPr>
          <w:rFonts w:asciiTheme="minorBidi" w:eastAsia="Times New Roman" w:hAnsiTheme="minorBidi"/>
          <w:sz w:val="24"/>
          <w:szCs w:val="24"/>
        </w:rPr>
        <w:t xml:space="preserve">This was prospective case control study, conducted at women use oral contraceptive during period from April to November 2018.fiftywomen use oral contraceptive (case group) and 50 women did not use anycontraceptive (control group) were enrolled in this study. As well as any women had coagulation problem, </w:t>
      </w:r>
      <w:r w:rsidR="002F4C5C" w:rsidRPr="00D2517C">
        <w:rPr>
          <w:rFonts w:asciiTheme="minorBidi" w:eastAsia="Times New Roman" w:hAnsiTheme="minorBidi"/>
          <w:sz w:val="24"/>
          <w:szCs w:val="24"/>
        </w:rPr>
        <w:lastRenderedPageBreak/>
        <w:t>last time exposure to bleeding, thrombosis or take vitamin effect on coagulation system were excluded from this study</w:t>
      </w:r>
      <w:r w:rsidR="002F4C5C" w:rsidRPr="00D2517C">
        <w:rPr>
          <w:rFonts w:asciiTheme="minorBidi" w:eastAsia="Times New Roman" w:hAnsiTheme="minorBidi"/>
          <w:b/>
          <w:bCs/>
          <w:sz w:val="24"/>
          <w:szCs w:val="24"/>
        </w:rPr>
        <w:t>.</w:t>
      </w:r>
    </w:p>
    <w:p w:rsidR="002F4C5C" w:rsidRPr="00D2517C" w:rsidRDefault="002F4C5C" w:rsidP="009A63EC">
      <w:pPr>
        <w:bidi/>
        <w:spacing w:line="360" w:lineRule="auto"/>
        <w:ind w:firstLine="142"/>
        <w:jc w:val="right"/>
        <w:rPr>
          <w:rFonts w:asciiTheme="minorBidi" w:eastAsia="Times New Roman" w:hAnsiTheme="minorBidi"/>
          <w:b/>
          <w:bCs/>
          <w:i/>
          <w:iCs/>
          <w:sz w:val="24"/>
          <w:szCs w:val="24"/>
        </w:rPr>
      </w:pPr>
      <w:r w:rsidRPr="00D2517C">
        <w:rPr>
          <w:rFonts w:asciiTheme="minorBidi" w:eastAsia="Times New Roman" w:hAnsiTheme="minorBidi"/>
          <w:b/>
          <w:bCs/>
          <w:i/>
          <w:iCs/>
          <w:sz w:val="24"/>
          <w:szCs w:val="24"/>
        </w:rPr>
        <w:t xml:space="preserve"> </w:t>
      </w:r>
      <w:r w:rsidRPr="009A63EC">
        <w:rPr>
          <w:rFonts w:asciiTheme="minorBidi" w:eastAsia="Times New Roman" w:hAnsiTheme="minorBidi"/>
          <w:b/>
          <w:bCs/>
          <w:sz w:val="24"/>
          <w:szCs w:val="24"/>
        </w:rPr>
        <w:t>Sampling and data collection</w:t>
      </w:r>
      <w:r w:rsidR="009A63EC">
        <w:rPr>
          <w:rFonts w:asciiTheme="minorBidi" w:eastAsia="Times New Roman" w:hAnsiTheme="minorBidi"/>
          <w:b/>
          <w:bCs/>
          <w:sz w:val="24"/>
          <w:szCs w:val="24"/>
        </w:rPr>
        <w:t xml:space="preserve"> </w:t>
      </w:r>
    </w:p>
    <w:p w:rsidR="002F4C5C" w:rsidRPr="009A63EC" w:rsidRDefault="009A63EC" w:rsidP="009A63EC">
      <w:pPr>
        <w:spacing w:line="360" w:lineRule="auto"/>
        <w:jc w:val="both"/>
        <w:rPr>
          <w:rFonts w:asciiTheme="minorBidi" w:eastAsia="Times New Roman" w:hAnsiTheme="minorBidi"/>
          <w:sz w:val="24"/>
          <w:szCs w:val="24"/>
          <w:rtl/>
        </w:rPr>
      </w:pPr>
      <w:r>
        <w:rPr>
          <w:rFonts w:asciiTheme="minorBidi" w:eastAsia="Times New Roman" w:hAnsiTheme="minorBidi"/>
          <w:sz w:val="24"/>
          <w:szCs w:val="24"/>
        </w:rPr>
        <w:t xml:space="preserve">             </w:t>
      </w:r>
      <w:r w:rsidR="002F4C5C" w:rsidRPr="00D2517C">
        <w:rPr>
          <w:rFonts w:asciiTheme="minorBidi" w:eastAsia="Times New Roman" w:hAnsiTheme="minorBidi"/>
          <w:sz w:val="24"/>
          <w:szCs w:val="24"/>
        </w:rPr>
        <w:t>Three ml of venous blood was collected from each participant in study using disposable sterile syringe, after disinfected the collection site with70% alcohol then the bloodwas dispensed in a sterile EDTA blood container.Data was obtained by direct interviewing using a well-structured questionnaire.</w:t>
      </w:r>
    </w:p>
    <w:p w:rsidR="002F4C5C" w:rsidRPr="00D2517C" w:rsidRDefault="002F4C5C" w:rsidP="009A63EC">
      <w:pPr>
        <w:spacing w:line="360" w:lineRule="auto"/>
        <w:jc w:val="both"/>
        <w:rPr>
          <w:rFonts w:asciiTheme="minorBidi" w:eastAsia="Times New Roman" w:hAnsiTheme="minorBidi"/>
          <w:b/>
          <w:bCs/>
          <w:sz w:val="24"/>
          <w:szCs w:val="24"/>
          <w:rtl/>
        </w:rPr>
      </w:pPr>
      <w:r w:rsidRPr="00D2517C">
        <w:rPr>
          <w:rFonts w:asciiTheme="minorBidi" w:eastAsia="Times New Roman" w:hAnsiTheme="minorBidi"/>
          <w:b/>
          <w:bCs/>
          <w:sz w:val="24"/>
          <w:szCs w:val="24"/>
        </w:rPr>
        <w:t>DNA extraction</w:t>
      </w:r>
    </w:p>
    <w:p w:rsidR="002F4C5C" w:rsidRPr="00D2517C" w:rsidRDefault="009A63EC" w:rsidP="009B1468">
      <w:pPr>
        <w:spacing w:line="360" w:lineRule="auto"/>
        <w:jc w:val="both"/>
        <w:rPr>
          <w:rFonts w:asciiTheme="minorBidi" w:eastAsia="Times New Roman" w:hAnsiTheme="minorBidi"/>
          <w:sz w:val="24"/>
          <w:szCs w:val="24"/>
        </w:rPr>
      </w:pPr>
      <w:r>
        <w:rPr>
          <w:rFonts w:asciiTheme="minorBidi" w:eastAsia="Times New Roman" w:hAnsiTheme="minorBidi"/>
          <w:sz w:val="24"/>
          <w:szCs w:val="24"/>
        </w:rPr>
        <w:t xml:space="preserve">                </w:t>
      </w:r>
      <w:r w:rsidR="002F4C5C" w:rsidRPr="00D2517C">
        <w:rPr>
          <w:rFonts w:asciiTheme="minorBidi" w:eastAsia="Times New Roman" w:hAnsiTheme="minorBidi"/>
          <w:sz w:val="24"/>
          <w:szCs w:val="24"/>
        </w:rPr>
        <w:t>DNA was extracted from whole blood using Guanidine hydrochloride, 4 ml of red blood lysis buffer (RCLB) were added to each sample, then centrifuged for 5 min at 6000 rpm, this step was repeated 2 times until a clear pellet of white blood cell were appeared, the supernatant was discard and(2 ml of white blood lysis buffer (WCLB), 1ml of guanidine hydrochloride, 300 of ammonium  acetate (NH</w:t>
      </w:r>
      <w:r w:rsidR="002F4C5C" w:rsidRPr="00D2517C">
        <w:rPr>
          <w:rFonts w:asciiTheme="minorBidi" w:eastAsia="Times New Roman" w:hAnsiTheme="minorBidi"/>
          <w:sz w:val="24"/>
          <w:szCs w:val="24"/>
          <w:vertAlign w:val="subscript"/>
        </w:rPr>
        <w:t>4</w:t>
      </w:r>
      <w:r w:rsidR="002F4C5C" w:rsidRPr="00D2517C">
        <w:rPr>
          <w:rFonts w:asciiTheme="minorBidi" w:eastAsia="Times New Roman" w:hAnsiTheme="minorBidi"/>
          <w:sz w:val="24"/>
          <w:szCs w:val="24"/>
        </w:rPr>
        <w:t>) and 10µl of proteinase K) were  added, then were incubated over night at 37Cº.After overnight incubation the sample were cooled at room temperature, and then 2ml of pre chilled chloroform were added, after that samples were centrifuge for 5 min at 6000rpm, upper layer were collected to new falcon tube contained 10 ml of cold absolute ethanol and then were incubated overnight at -20Cº.Afterovernight incubation the sample were centrifugated for 10 min at 6000rpm, the supernatant weredrained, pellet were washed with 4ml 70% ethanol, then were centrifugatedfor 10 min at 6000 rpm and supernatant were poured off and pellet were allowed to dry, then pellet were dissolved in 100µlof double distilled water (DDW)and incubated at 4Cºuntil used</w:t>
      </w:r>
      <w:r w:rsidR="009B1468" w:rsidRPr="00D2517C">
        <w:rPr>
          <w:rFonts w:asciiTheme="minorBidi" w:eastAsia="Times New Roman" w:hAnsiTheme="minorBidi"/>
          <w:sz w:val="24"/>
          <w:szCs w:val="24"/>
        </w:rPr>
        <w:t xml:space="preserve"> (</w:t>
      </w:r>
      <w:r w:rsidR="009B1468" w:rsidRPr="00D2517C">
        <w:rPr>
          <w:rFonts w:asciiTheme="minorBidi" w:hAnsiTheme="minorBidi"/>
          <w:sz w:val="24"/>
          <w:szCs w:val="24"/>
        </w:rPr>
        <w:t>Chomczynski et al., 2006).</w:t>
      </w:r>
    </w:p>
    <w:p w:rsidR="002F4C5C" w:rsidRPr="009A63EC" w:rsidRDefault="002F4C5C" w:rsidP="009A63EC">
      <w:pPr>
        <w:spacing w:line="360" w:lineRule="auto"/>
        <w:jc w:val="both"/>
        <w:rPr>
          <w:rFonts w:asciiTheme="minorBidi" w:eastAsia="Times New Roman" w:hAnsiTheme="minorBidi"/>
          <w:b/>
          <w:bCs/>
          <w:sz w:val="24"/>
          <w:szCs w:val="24"/>
        </w:rPr>
      </w:pPr>
      <w:r w:rsidRPr="009A63EC">
        <w:rPr>
          <w:rFonts w:asciiTheme="minorBidi" w:eastAsia="Times New Roman" w:hAnsiTheme="minorBidi"/>
          <w:b/>
          <w:bCs/>
          <w:sz w:val="24"/>
          <w:szCs w:val="24"/>
        </w:rPr>
        <w:t>PCR reaction</w:t>
      </w:r>
      <w:r w:rsidR="009A63EC" w:rsidRPr="009A63EC">
        <w:rPr>
          <w:rFonts w:asciiTheme="minorBidi" w:eastAsia="Times New Roman" w:hAnsiTheme="minorBidi"/>
          <w:b/>
          <w:bCs/>
          <w:sz w:val="24"/>
          <w:szCs w:val="24"/>
        </w:rPr>
        <w:t xml:space="preserve">  </w:t>
      </w:r>
    </w:p>
    <w:p w:rsidR="002F4C5C" w:rsidRPr="00D2517C" w:rsidRDefault="009A63EC" w:rsidP="002A4CD7">
      <w:pPr>
        <w:spacing w:line="360" w:lineRule="auto"/>
        <w:jc w:val="both"/>
        <w:rPr>
          <w:rFonts w:asciiTheme="minorBidi" w:eastAsia="Times New Roman" w:hAnsiTheme="minorBidi"/>
          <w:sz w:val="24"/>
          <w:szCs w:val="24"/>
        </w:rPr>
      </w:pPr>
      <w:r>
        <w:rPr>
          <w:rFonts w:asciiTheme="minorBidi" w:eastAsia="Times New Roman" w:hAnsiTheme="minorBidi"/>
          <w:sz w:val="24"/>
          <w:szCs w:val="24"/>
        </w:rPr>
        <w:t xml:space="preserve">           </w:t>
      </w:r>
      <w:r w:rsidR="002A4CD7" w:rsidRPr="00D2517C">
        <w:rPr>
          <w:rFonts w:asciiTheme="minorBidi" w:eastAsia="Times New Roman" w:hAnsiTheme="minorBidi"/>
          <w:sz w:val="24"/>
          <w:szCs w:val="24"/>
        </w:rPr>
        <w:t>Each PCR reaction was performed in a final volume of 20 containers (2.5Mm dNTPs, 2 target DNA.1(10pmol) of each primer(C, N, M) and 2.5U (5U/) of taq polymerase, followed by thermal cycler (Eppendorf master cycler) samplesThe PCR reaction was performed by ARMS for Factor V Leiden, the wild-type primer is 5, GGACAAATACCT GTATTCC3, the mutant primer is 5, GGACAAATAC CTGTATTCCTT3 and the common primer is 5CTTTCA GGCAGGAACACC3</w:t>
      </w:r>
      <w:r w:rsidR="002F4C5C" w:rsidRPr="00D2517C">
        <w:rPr>
          <w:rFonts w:asciiTheme="minorBidi" w:eastAsia="Times New Roman" w:hAnsiTheme="minorBidi"/>
          <w:sz w:val="24"/>
          <w:szCs w:val="24"/>
        </w:rPr>
        <w:t xml:space="preserve">. </w:t>
      </w:r>
      <w:r w:rsidR="002A4CD7" w:rsidRPr="00D2517C">
        <w:rPr>
          <w:rFonts w:asciiTheme="minorBidi" w:eastAsia="Times New Roman" w:hAnsiTheme="minorBidi"/>
          <w:sz w:val="24"/>
          <w:szCs w:val="24"/>
        </w:rPr>
        <w:t xml:space="preserve">Thermal cycling conditions consisting of 5 min denaturation at 95Co followed by 35 </w:t>
      </w:r>
      <w:r w:rsidR="002A4CD7" w:rsidRPr="00D2517C">
        <w:rPr>
          <w:rFonts w:asciiTheme="minorBidi" w:eastAsia="Times New Roman" w:hAnsiTheme="minorBidi"/>
          <w:sz w:val="24"/>
          <w:szCs w:val="24"/>
        </w:rPr>
        <w:lastRenderedPageBreak/>
        <w:t>denaturation cycles at 95Co for 30s, annealing at 60oC for 30s, extension at 68Co for 60s, then final extension at 72Co for 5 min, maintained at 4Co for use. The PCR reaction was treated with ethidium bromide on 2% agarose gel at 150 V for 45 minutes</w:t>
      </w:r>
      <w:r w:rsidR="009B1468" w:rsidRPr="00D2517C">
        <w:rPr>
          <w:rFonts w:asciiTheme="minorBidi" w:eastAsia="Times New Roman" w:hAnsiTheme="minorBidi"/>
          <w:sz w:val="24"/>
          <w:szCs w:val="24"/>
        </w:rPr>
        <w:t xml:space="preserve"> (</w:t>
      </w:r>
      <w:r w:rsidR="009B1468" w:rsidRPr="00D2517C">
        <w:rPr>
          <w:rFonts w:asciiTheme="minorBidi" w:hAnsiTheme="minorBidi"/>
          <w:sz w:val="24"/>
          <w:szCs w:val="24"/>
        </w:rPr>
        <w:t>Dajani et al., 2013).</w:t>
      </w:r>
    </w:p>
    <w:p w:rsidR="002F4C5C" w:rsidRPr="009A63EC" w:rsidRDefault="002F4C5C" w:rsidP="009B1468">
      <w:pPr>
        <w:spacing w:line="360" w:lineRule="auto"/>
        <w:jc w:val="both"/>
        <w:rPr>
          <w:rFonts w:asciiTheme="minorBidi" w:eastAsia="Times New Roman" w:hAnsiTheme="minorBidi"/>
          <w:sz w:val="24"/>
          <w:szCs w:val="24"/>
        </w:rPr>
      </w:pPr>
      <w:r w:rsidRPr="009A63EC">
        <w:rPr>
          <w:rFonts w:asciiTheme="minorBidi" w:eastAsia="Times New Roman" w:hAnsiTheme="minorBidi"/>
          <w:b/>
          <w:bCs/>
          <w:sz w:val="24"/>
          <w:szCs w:val="24"/>
        </w:rPr>
        <w:t>Ethical considerations</w:t>
      </w:r>
    </w:p>
    <w:p w:rsidR="002A4CD7" w:rsidRPr="00D2517C" w:rsidRDefault="009A63EC" w:rsidP="002A4CD7">
      <w:pPr>
        <w:spacing w:line="360" w:lineRule="auto"/>
        <w:jc w:val="both"/>
        <w:rPr>
          <w:rFonts w:asciiTheme="minorBidi" w:eastAsia="Times New Roman" w:hAnsiTheme="minorBidi"/>
          <w:sz w:val="24"/>
          <w:szCs w:val="24"/>
        </w:rPr>
      </w:pPr>
      <w:r>
        <w:rPr>
          <w:rFonts w:asciiTheme="minorBidi" w:eastAsia="Times New Roman" w:hAnsiTheme="minorBidi"/>
          <w:sz w:val="24"/>
          <w:szCs w:val="24"/>
        </w:rPr>
        <w:t xml:space="preserve">        </w:t>
      </w:r>
      <w:r w:rsidR="002A4CD7" w:rsidRPr="00D2517C">
        <w:rPr>
          <w:rFonts w:asciiTheme="minorBidi" w:eastAsia="Times New Roman" w:hAnsiTheme="minorBidi"/>
          <w:sz w:val="24"/>
          <w:szCs w:val="24"/>
        </w:rPr>
        <w:t>Ethical approval was obtained from the College of Medical Laboratory Committee, Ethical approval No (MLS–IEC-02-17).</w:t>
      </w:r>
    </w:p>
    <w:p w:rsidR="002A4CD7" w:rsidRPr="00D2517C" w:rsidRDefault="002A4CD7" w:rsidP="002A4CD7">
      <w:pPr>
        <w:spacing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Participants were verbally informed, in their simple language, about the research, its benefits and the method of collecting the samples, and then their participation approval and publication of the data were obtained.</w:t>
      </w:r>
    </w:p>
    <w:p w:rsidR="002F4C5C" w:rsidRPr="009A63EC" w:rsidRDefault="002F4C5C" w:rsidP="002A4CD7">
      <w:pPr>
        <w:spacing w:line="360" w:lineRule="auto"/>
        <w:jc w:val="both"/>
        <w:rPr>
          <w:rFonts w:asciiTheme="minorBidi" w:eastAsia="Times New Roman" w:hAnsiTheme="minorBidi"/>
          <w:b/>
          <w:bCs/>
          <w:sz w:val="24"/>
          <w:szCs w:val="24"/>
        </w:rPr>
      </w:pPr>
      <w:r w:rsidRPr="009A63EC">
        <w:rPr>
          <w:rFonts w:asciiTheme="minorBidi" w:eastAsia="Times New Roman" w:hAnsiTheme="minorBidi"/>
          <w:b/>
          <w:bCs/>
          <w:sz w:val="24"/>
          <w:szCs w:val="24"/>
        </w:rPr>
        <w:t>Statistical analysis</w:t>
      </w:r>
    </w:p>
    <w:p w:rsidR="002A4CD7" w:rsidRPr="00D2517C" w:rsidRDefault="009A63EC" w:rsidP="009B1468">
      <w:pPr>
        <w:bidi/>
        <w:spacing w:line="360" w:lineRule="auto"/>
        <w:ind w:firstLine="142"/>
        <w:jc w:val="right"/>
        <w:rPr>
          <w:rFonts w:asciiTheme="minorBidi" w:eastAsia="Times New Roman" w:hAnsiTheme="minorBidi"/>
          <w:sz w:val="24"/>
          <w:szCs w:val="24"/>
        </w:rPr>
      </w:pPr>
      <w:r>
        <w:rPr>
          <w:rFonts w:asciiTheme="minorBidi" w:eastAsia="Times New Roman" w:hAnsiTheme="minorBidi"/>
          <w:sz w:val="24"/>
          <w:szCs w:val="24"/>
        </w:rPr>
        <w:t xml:space="preserve">           </w:t>
      </w:r>
      <w:r w:rsidR="002A4CD7" w:rsidRPr="00D2517C">
        <w:rPr>
          <w:rFonts w:asciiTheme="minorBidi" w:eastAsia="Times New Roman" w:hAnsiTheme="minorBidi"/>
          <w:sz w:val="24"/>
          <w:szCs w:val="24"/>
        </w:rPr>
        <w:t>The statistical analysis of the result was conducted using the Quantitative Package for Social Sciences (SPSS) version 16 for the interpretation of the results, a significant difference of less than 0.05 was calculated using the Chi square method.</w:t>
      </w:r>
    </w:p>
    <w:p w:rsidR="002F4C5C" w:rsidRPr="00D2517C" w:rsidRDefault="002F4C5C" w:rsidP="002A4CD7">
      <w:pPr>
        <w:bidi/>
        <w:spacing w:line="360" w:lineRule="auto"/>
        <w:ind w:firstLine="142"/>
        <w:jc w:val="right"/>
        <w:rPr>
          <w:rFonts w:asciiTheme="minorBidi" w:eastAsia="Times New Roman" w:hAnsiTheme="minorBidi"/>
          <w:b/>
          <w:bCs/>
          <w:sz w:val="24"/>
          <w:szCs w:val="24"/>
        </w:rPr>
      </w:pPr>
      <w:r w:rsidRPr="00D2517C">
        <w:rPr>
          <w:rFonts w:asciiTheme="minorBidi" w:eastAsia="Times New Roman" w:hAnsiTheme="minorBidi"/>
          <w:b/>
          <w:bCs/>
          <w:sz w:val="24"/>
          <w:szCs w:val="24"/>
        </w:rPr>
        <w:t>Result</w:t>
      </w:r>
      <w:r w:rsidR="009B1468" w:rsidRPr="00D2517C">
        <w:rPr>
          <w:rFonts w:asciiTheme="minorBidi" w:eastAsia="Times New Roman" w:hAnsiTheme="minorBidi"/>
          <w:b/>
          <w:bCs/>
          <w:sz w:val="24"/>
          <w:szCs w:val="24"/>
        </w:rPr>
        <w:t xml:space="preserve"> and discussion </w:t>
      </w:r>
    </w:p>
    <w:p w:rsidR="002A4CD7" w:rsidRPr="00D2517C" w:rsidRDefault="009A63EC" w:rsidP="009B1468">
      <w:pPr>
        <w:spacing w:line="360" w:lineRule="auto"/>
        <w:jc w:val="both"/>
        <w:rPr>
          <w:rFonts w:asciiTheme="minorBidi" w:hAnsiTheme="minorBidi"/>
          <w:sz w:val="24"/>
          <w:szCs w:val="24"/>
        </w:rPr>
      </w:pPr>
      <w:r>
        <w:rPr>
          <w:rFonts w:asciiTheme="minorBidi" w:hAnsiTheme="minorBidi"/>
          <w:sz w:val="24"/>
          <w:szCs w:val="24"/>
        </w:rPr>
        <w:t xml:space="preserve">            </w:t>
      </w:r>
      <w:r w:rsidR="002A4CD7" w:rsidRPr="00D2517C">
        <w:rPr>
          <w:rFonts w:asciiTheme="minorBidi" w:hAnsiTheme="minorBidi"/>
          <w:sz w:val="24"/>
          <w:szCs w:val="24"/>
        </w:rPr>
        <w:t>The study conducted to determine the subsequent effect of oral contraceptive on factor V gene includes 50 women using oral contraceptive age of the participating patient and a corresponding group of fifty apparently healthy women who do not use oral contraceptive pills or other contraceptives.</w:t>
      </w:r>
    </w:p>
    <w:p w:rsidR="002F4C5C" w:rsidRPr="00D2517C" w:rsidRDefault="002A4CD7" w:rsidP="009B1468">
      <w:pPr>
        <w:spacing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Both participants have no drug effect on haemostatic parameters and have no prior thrombosis or family history of bleeding or thrombosis</w:t>
      </w:r>
      <w:r w:rsidR="002F4C5C" w:rsidRPr="00D2517C">
        <w:rPr>
          <w:rFonts w:asciiTheme="minorBidi" w:eastAsia="Times New Roman" w:hAnsiTheme="minorBidi"/>
          <w:sz w:val="24"/>
          <w:szCs w:val="24"/>
        </w:rPr>
        <w:t>.</w:t>
      </w:r>
    </w:p>
    <w:p w:rsidR="002A4CD7" w:rsidRPr="00D2517C" w:rsidRDefault="002A4CD7" w:rsidP="009B1468">
      <w:pPr>
        <w:spacing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Participants were classified in less than 20, (20-35) and more than 35 years by age in three groups.</w:t>
      </w:r>
    </w:p>
    <w:p w:rsidR="002A4CD7" w:rsidRPr="00D2517C" w:rsidRDefault="002A4CD7" w:rsidP="009B1468">
      <w:pPr>
        <w:tabs>
          <w:tab w:val="left" w:pos="3990"/>
        </w:tabs>
        <w:spacing w:after="16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Based on the results, mean ± StD (30± 5.5 and 29±8.0) in case and control respectively, with insignificant P.value=0.52.</w:t>
      </w:r>
    </w:p>
    <w:p w:rsidR="002F4C5C" w:rsidRPr="00D2517C" w:rsidRDefault="002F4C5C" w:rsidP="009B1468">
      <w:pPr>
        <w:tabs>
          <w:tab w:val="left" w:pos="3990"/>
        </w:tabs>
        <w:spacing w:after="16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 xml:space="preserve">The overall frequency in case group showed that, the higher frequency 19 (38.5%) were in women with more than three children (multi grand), while the lower frequency 3 (6.5%) were in women with one child (primary). In contrast, the higher </w:t>
      </w:r>
      <w:r w:rsidRPr="00D2517C">
        <w:rPr>
          <w:rFonts w:asciiTheme="minorBidi" w:eastAsia="Times New Roman" w:hAnsiTheme="minorBidi"/>
          <w:sz w:val="24"/>
          <w:szCs w:val="24"/>
        </w:rPr>
        <w:lastRenderedPageBreak/>
        <w:t>frequency 19 (38.5%) were in women with two (secondary) and three (multi) children for each among control group (table 1). Women those used Levonorgestrel were more frequent 44 (88.5%) than those were used Dosogestrel 6 (12.5) (table 1).</w:t>
      </w:r>
    </w:p>
    <w:p w:rsidR="002F4C5C" w:rsidRPr="00D2517C" w:rsidRDefault="002F4C5C" w:rsidP="009B1468">
      <w:pPr>
        <w:spacing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 xml:space="preserve">The age </w:t>
      </w:r>
      <w:r w:rsidR="00AC7092" w:rsidRPr="00D2517C">
        <w:rPr>
          <w:rFonts w:asciiTheme="minorBidi" w:eastAsia="Times New Roman" w:hAnsiTheme="minorBidi"/>
          <w:sz w:val="24"/>
          <w:szCs w:val="24"/>
        </w:rPr>
        <w:t>group of (20-35) years was</w:t>
      </w:r>
      <w:r w:rsidRPr="00D2517C">
        <w:rPr>
          <w:rFonts w:asciiTheme="minorBidi" w:eastAsia="Times New Roman" w:hAnsiTheme="minorBidi"/>
          <w:sz w:val="24"/>
          <w:szCs w:val="24"/>
        </w:rPr>
        <w:t xml:space="preserve"> the most frequent, while the less than 20 years were lowest frequent (table. 1)</w:t>
      </w:r>
    </w:p>
    <w:p w:rsidR="002F4C5C" w:rsidRPr="00D2517C" w:rsidRDefault="002F4C5C" w:rsidP="009B1468">
      <w:pPr>
        <w:spacing w:after="0" w:line="360" w:lineRule="auto"/>
        <w:jc w:val="both"/>
        <w:rPr>
          <w:rFonts w:asciiTheme="minorBidi" w:hAnsiTheme="minorBidi"/>
          <w:sz w:val="24"/>
          <w:szCs w:val="24"/>
        </w:rPr>
      </w:pPr>
      <w:r w:rsidRPr="00D2517C">
        <w:rPr>
          <w:rFonts w:asciiTheme="minorBidi" w:hAnsiTheme="minorBidi"/>
          <w:sz w:val="24"/>
          <w:szCs w:val="24"/>
        </w:rPr>
        <w:t xml:space="preserve">The result of PCR showed that, all sample give reaction in wild type (normal), the mutant type was absent in all participant (figure 1). </w:t>
      </w:r>
    </w:p>
    <w:p w:rsidR="002F4C5C" w:rsidRPr="00D2517C" w:rsidRDefault="002F4C5C" w:rsidP="009B1468">
      <w:pPr>
        <w:tabs>
          <w:tab w:val="left" w:pos="3990"/>
        </w:tabs>
        <w:spacing w:after="16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ab/>
      </w:r>
    </w:p>
    <w:p w:rsidR="002F4C5C" w:rsidRPr="009A63EC" w:rsidRDefault="002F4C5C" w:rsidP="009A63EC">
      <w:pPr>
        <w:widowControl w:val="0"/>
        <w:overflowPunct w:val="0"/>
        <w:autoSpaceDE w:val="0"/>
        <w:autoSpaceDN w:val="0"/>
        <w:adjustRightInd w:val="0"/>
        <w:spacing w:after="0" w:line="240" w:lineRule="auto"/>
        <w:jc w:val="center"/>
        <w:rPr>
          <w:rFonts w:ascii="Arial" w:eastAsia="Times New Roman" w:hAnsi="Arial" w:cs="Arial"/>
          <w:color w:val="000000"/>
          <w:kern w:val="28"/>
          <w:sz w:val="24"/>
          <w:szCs w:val="24"/>
        </w:rPr>
      </w:pPr>
      <w:r w:rsidRPr="009A63EC">
        <w:rPr>
          <w:rFonts w:ascii="Arial" w:eastAsia="Times New Roman" w:hAnsi="Arial" w:cs="Arial"/>
          <w:color w:val="000000"/>
          <w:kern w:val="28"/>
          <w:sz w:val="24"/>
          <w:szCs w:val="24"/>
        </w:rPr>
        <w:t>Table1:</w:t>
      </w:r>
      <w:r w:rsidR="009B1468" w:rsidRPr="009A63EC">
        <w:rPr>
          <w:rFonts w:ascii="Arial" w:eastAsia="Times New Roman" w:hAnsi="Arial" w:cs="Arial"/>
          <w:color w:val="000000"/>
          <w:kern w:val="28"/>
          <w:sz w:val="24"/>
          <w:szCs w:val="24"/>
        </w:rPr>
        <w:t xml:space="preserve"> </w:t>
      </w:r>
      <w:r w:rsidRPr="009A63EC">
        <w:rPr>
          <w:rFonts w:ascii="Arial" w:eastAsia="Times New Roman" w:hAnsi="Arial" w:cs="Arial"/>
          <w:color w:val="000000"/>
          <w:kern w:val="28"/>
          <w:sz w:val="24"/>
          <w:szCs w:val="24"/>
        </w:rPr>
        <w:t xml:space="preserve">Distribution of </w:t>
      </w:r>
      <w:r w:rsidR="009A63EC">
        <w:rPr>
          <w:rFonts w:ascii="Arial" w:eastAsia="Times New Roman" w:hAnsi="Arial" w:cs="Arial"/>
          <w:color w:val="000000"/>
          <w:kern w:val="28"/>
          <w:sz w:val="24"/>
          <w:szCs w:val="24"/>
        </w:rPr>
        <w:t>D</w:t>
      </w:r>
      <w:r w:rsidRPr="009A63EC">
        <w:rPr>
          <w:rFonts w:ascii="Arial" w:eastAsia="Times New Roman" w:hAnsi="Arial" w:cs="Arial"/>
          <w:color w:val="000000"/>
          <w:kern w:val="28"/>
          <w:sz w:val="24"/>
          <w:szCs w:val="24"/>
        </w:rPr>
        <w:t xml:space="preserve">emographic </w:t>
      </w:r>
      <w:r w:rsidR="009A63EC">
        <w:rPr>
          <w:rFonts w:ascii="Arial" w:eastAsia="Times New Roman" w:hAnsi="Arial" w:cs="Arial"/>
          <w:color w:val="000000"/>
          <w:kern w:val="28"/>
          <w:sz w:val="24"/>
          <w:szCs w:val="24"/>
        </w:rPr>
        <w:t>D</w:t>
      </w:r>
      <w:r w:rsidRPr="009A63EC">
        <w:rPr>
          <w:rFonts w:ascii="Arial" w:eastAsia="Times New Roman" w:hAnsi="Arial" w:cs="Arial"/>
          <w:color w:val="000000"/>
          <w:kern w:val="28"/>
          <w:sz w:val="24"/>
          <w:szCs w:val="24"/>
        </w:rPr>
        <w:t xml:space="preserve">ata among </w:t>
      </w:r>
      <w:r w:rsidR="009A63EC">
        <w:rPr>
          <w:rFonts w:ascii="Arial" w:eastAsia="Times New Roman" w:hAnsi="Arial" w:cs="Arial"/>
          <w:color w:val="000000"/>
          <w:kern w:val="28"/>
          <w:sz w:val="24"/>
          <w:szCs w:val="24"/>
        </w:rPr>
        <w:t>S</w:t>
      </w:r>
      <w:r w:rsidRPr="009A63EC">
        <w:rPr>
          <w:rFonts w:ascii="Arial" w:eastAsia="Times New Roman" w:hAnsi="Arial" w:cs="Arial"/>
          <w:color w:val="000000"/>
          <w:kern w:val="28"/>
          <w:sz w:val="24"/>
          <w:szCs w:val="24"/>
        </w:rPr>
        <w:t>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3040"/>
        <w:gridCol w:w="3260"/>
      </w:tblGrid>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b/>
                <w:bCs/>
                <w:sz w:val="24"/>
                <w:szCs w:val="24"/>
              </w:rPr>
            </w:pPr>
            <w:r w:rsidRPr="00D2517C">
              <w:rPr>
                <w:rFonts w:asciiTheme="minorBidi" w:hAnsiTheme="minorBidi"/>
                <w:b/>
                <w:bCs/>
                <w:sz w:val="24"/>
                <w:szCs w:val="24"/>
              </w:rPr>
              <w:t>Variable</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b/>
                <w:bCs/>
                <w:sz w:val="24"/>
                <w:szCs w:val="24"/>
              </w:rPr>
            </w:pPr>
            <w:r w:rsidRPr="00D2517C">
              <w:rPr>
                <w:rFonts w:asciiTheme="minorBidi" w:hAnsiTheme="minorBidi"/>
                <w:b/>
                <w:bCs/>
                <w:sz w:val="24"/>
                <w:szCs w:val="24"/>
              </w:rPr>
              <w:t>Case (%)</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b/>
                <w:bCs/>
                <w:sz w:val="24"/>
                <w:szCs w:val="24"/>
              </w:rPr>
            </w:pPr>
            <w:r w:rsidRPr="00D2517C">
              <w:rPr>
                <w:rFonts w:asciiTheme="minorBidi" w:hAnsiTheme="minorBidi"/>
                <w:b/>
                <w:bCs/>
                <w:sz w:val="24"/>
                <w:szCs w:val="24"/>
              </w:rPr>
              <w:t>Control (%)</w:t>
            </w:r>
          </w:p>
        </w:tc>
      </w:tr>
      <w:tr w:rsidR="002F4C5C" w:rsidRPr="00D2517C" w:rsidTr="006F09C8">
        <w:trPr>
          <w:trHeight w:val="414"/>
        </w:trPr>
        <w:tc>
          <w:tcPr>
            <w:tcW w:w="9243" w:type="dxa"/>
            <w:gridSpan w:val="3"/>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b/>
                <w:bCs/>
                <w:sz w:val="24"/>
                <w:szCs w:val="24"/>
              </w:rPr>
              <w:t>Gravity</w:t>
            </w:r>
          </w:p>
        </w:tc>
      </w:tr>
      <w:tr w:rsidR="002F4C5C" w:rsidRPr="00D2517C" w:rsidTr="006F09C8">
        <w:trPr>
          <w:trHeight w:val="414"/>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Primary (one child)</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3 (6.5)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4 (8.5)</w:t>
            </w:r>
          </w:p>
        </w:tc>
      </w:tr>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Secondary (two child)</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14 (28.5)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19 (38.5)</w:t>
            </w:r>
          </w:p>
        </w:tc>
      </w:tr>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Multi (three child)</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14 (28.5)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19 (38.5)</w:t>
            </w:r>
          </w:p>
        </w:tc>
      </w:tr>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Grand multi (more than three child)</w:t>
            </w:r>
          </w:p>
        </w:tc>
        <w:tc>
          <w:tcPr>
            <w:tcW w:w="3040" w:type="dxa"/>
          </w:tcPr>
          <w:p w:rsidR="002F4C5C" w:rsidRPr="00D2517C" w:rsidRDefault="002F4C5C" w:rsidP="009B1468">
            <w:pPr>
              <w:tabs>
                <w:tab w:val="center" w:pos="1403"/>
              </w:tabs>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ab/>
              <w:t>19 (38.5)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8 (16.5)</w:t>
            </w:r>
          </w:p>
        </w:tc>
      </w:tr>
      <w:tr w:rsidR="002F4C5C" w:rsidRPr="00D2517C" w:rsidTr="006F09C8">
        <w:trPr>
          <w:trHeight w:val="428"/>
        </w:trPr>
        <w:tc>
          <w:tcPr>
            <w:tcW w:w="9243" w:type="dxa"/>
            <w:gridSpan w:val="3"/>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b/>
                <w:bCs/>
                <w:sz w:val="24"/>
                <w:szCs w:val="24"/>
              </w:rPr>
              <w:t>Type of oral contraceptive</w:t>
            </w:r>
          </w:p>
        </w:tc>
      </w:tr>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Levonorgestrel</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44 (88.5)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w:t>
            </w:r>
          </w:p>
        </w:tc>
      </w:tr>
      <w:tr w:rsidR="002F4C5C" w:rsidRPr="00D2517C" w:rsidTr="006F09C8">
        <w:trPr>
          <w:trHeight w:val="428"/>
        </w:trPr>
        <w:tc>
          <w:tcPr>
            <w:tcW w:w="2943"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Desogestrel</w:t>
            </w:r>
          </w:p>
        </w:tc>
        <w:tc>
          <w:tcPr>
            <w:tcW w:w="304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6 (12.5)</w:t>
            </w:r>
          </w:p>
        </w:tc>
        <w:tc>
          <w:tcPr>
            <w:tcW w:w="3260" w:type="dxa"/>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hAnsiTheme="minorBidi"/>
                <w:sz w:val="24"/>
                <w:szCs w:val="24"/>
              </w:rPr>
              <w:t>-</w:t>
            </w:r>
          </w:p>
        </w:tc>
      </w:tr>
      <w:tr w:rsidR="002F4C5C" w:rsidRPr="00D2517C" w:rsidTr="006F09C8">
        <w:trPr>
          <w:trHeight w:val="428"/>
        </w:trPr>
        <w:tc>
          <w:tcPr>
            <w:tcW w:w="9243" w:type="dxa"/>
            <w:gridSpan w:val="3"/>
          </w:tcPr>
          <w:p w:rsidR="002F4C5C" w:rsidRPr="00D2517C" w:rsidRDefault="002F4C5C" w:rsidP="009B1468">
            <w:pPr>
              <w:autoSpaceDE w:val="0"/>
              <w:autoSpaceDN w:val="0"/>
              <w:adjustRightInd w:val="0"/>
              <w:spacing w:after="0" w:line="360" w:lineRule="auto"/>
              <w:jc w:val="both"/>
              <w:rPr>
                <w:rFonts w:asciiTheme="minorBidi" w:hAnsiTheme="minorBidi"/>
                <w:sz w:val="24"/>
                <w:szCs w:val="24"/>
              </w:rPr>
            </w:pPr>
            <w:r w:rsidRPr="00D2517C">
              <w:rPr>
                <w:rFonts w:asciiTheme="minorBidi" w:eastAsia="Times New Roman" w:hAnsiTheme="minorBidi"/>
                <w:b/>
                <w:bCs/>
                <w:sz w:val="24"/>
                <w:szCs w:val="24"/>
              </w:rPr>
              <w:t>Age group</w:t>
            </w:r>
          </w:p>
        </w:tc>
      </w:tr>
      <w:tr w:rsidR="002F4C5C" w:rsidRPr="00D2517C" w:rsidTr="006F09C8">
        <w:trPr>
          <w:trHeight w:val="428"/>
        </w:trPr>
        <w:tc>
          <w:tcPr>
            <w:tcW w:w="2943"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&gt;20</w:t>
            </w:r>
          </w:p>
        </w:tc>
        <w:tc>
          <w:tcPr>
            <w:tcW w:w="304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2 (4.5)</w:t>
            </w:r>
          </w:p>
        </w:tc>
        <w:tc>
          <w:tcPr>
            <w:tcW w:w="326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6 (12.5)</w:t>
            </w:r>
          </w:p>
        </w:tc>
      </w:tr>
      <w:tr w:rsidR="002F4C5C" w:rsidRPr="00D2517C" w:rsidTr="006F09C8">
        <w:trPr>
          <w:trHeight w:val="428"/>
        </w:trPr>
        <w:tc>
          <w:tcPr>
            <w:tcW w:w="2943"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20-35</w:t>
            </w:r>
          </w:p>
        </w:tc>
        <w:tc>
          <w:tcPr>
            <w:tcW w:w="304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40 (80.5)</w:t>
            </w:r>
          </w:p>
        </w:tc>
        <w:tc>
          <w:tcPr>
            <w:tcW w:w="326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31 (62.5)</w:t>
            </w:r>
          </w:p>
        </w:tc>
      </w:tr>
      <w:tr w:rsidR="002F4C5C" w:rsidRPr="00D2517C" w:rsidTr="006F09C8">
        <w:trPr>
          <w:trHeight w:val="428"/>
        </w:trPr>
        <w:tc>
          <w:tcPr>
            <w:tcW w:w="2943"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&lt; 35</w:t>
            </w:r>
          </w:p>
        </w:tc>
        <w:tc>
          <w:tcPr>
            <w:tcW w:w="304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8 (16.5)</w:t>
            </w:r>
          </w:p>
        </w:tc>
        <w:tc>
          <w:tcPr>
            <w:tcW w:w="3260" w:type="dxa"/>
          </w:tcPr>
          <w:p w:rsidR="002F4C5C" w:rsidRPr="00D2517C" w:rsidRDefault="002F4C5C"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13 (26.5)</w:t>
            </w:r>
          </w:p>
        </w:tc>
      </w:tr>
    </w:tbl>
    <w:p w:rsidR="002F4C5C" w:rsidRPr="00D2517C" w:rsidRDefault="002F4C5C" w:rsidP="009B1468">
      <w:pPr>
        <w:autoSpaceDE w:val="0"/>
        <w:autoSpaceDN w:val="0"/>
        <w:adjustRightInd w:val="0"/>
        <w:spacing w:after="0" w:line="360" w:lineRule="auto"/>
        <w:jc w:val="both"/>
        <w:rPr>
          <w:rFonts w:asciiTheme="minorBidi" w:eastAsia="Times New Roman" w:hAnsiTheme="minorBidi"/>
          <w:sz w:val="24"/>
          <w:szCs w:val="24"/>
        </w:rPr>
      </w:pPr>
    </w:p>
    <w:p w:rsidR="002F4C5C" w:rsidRPr="00D2517C" w:rsidRDefault="002F4C5C" w:rsidP="009B1468">
      <w:pPr>
        <w:spacing w:after="0" w:line="360" w:lineRule="auto"/>
        <w:jc w:val="both"/>
        <w:rPr>
          <w:rFonts w:asciiTheme="minorBidi" w:hAnsiTheme="minorBidi"/>
          <w:sz w:val="24"/>
          <w:szCs w:val="24"/>
          <w:rtl/>
        </w:rPr>
      </w:pPr>
    </w:p>
    <w:p w:rsidR="002F4C5C" w:rsidRPr="00D2517C" w:rsidRDefault="00B177A7" w:rsidP="009B1468">
      <w:pPr>
        <w:spacing w:after="0" w:line="360" w:lineRule="auto"/>
        <w:jc w:val="both"/>
        <w:rPr>
          <w:rFonts w:asciiTheme="minorBidi" w:hAnsiTheme="minorBidi"/>
          <w:sz w:val="24"/>
          <w:szCs w:val="24"/>
        </w:rPr>
      </w:pPr>
      <w:r w:rsidRPr="00D2517C">
        <w:rPr>
          <w:rFonts w:asciiTheme="minorBidi" w:hAnsiTheme="minorBidi"/>
          <w:noProof/>
          <w:sz w:val="24"/>
          <w:szCs w:val="24"/>
        </w:rPr>
        <w:drawing>
          <wp:anchor distT="0" distB="0" distL="114300" distR="114300" simplePos="0" relativeHeight="251660288" behindDoc="0" locked="0" layoutInCell="1" allowOverlap="1">
            <wp:simplePos x="0" y="0"/>
            <wp:positionH relativeFrom="column">
              <wp:posOffset>123825</wp:posOffset>
            </wp:positionH>
            <wp:positionV relativeFrom="paragraph">
              <wp:posOffset>207645</wp:posOffset>
            </wp:positionV>
            <wp:extent cx="5486400" cy="1685925"/>
            <wp:effectExtent l="19050" t="0" r="0" b="0"/>
            <wp:wrapNone/>
            <wp:docPr id="1" name="Picture 18" descr="C:\Users\user\Desktop\٢٠١٨١٠٠٣_١٤٥٦٠٨-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٢٠١٨١٠٠٣_١٤٥٦٠٨-1-1-1.jpg"/>
                    <pic:cNvPicPr>
                      <a:picLocks noChangeAspect="1" noChangeArrowheads="1"/>
                    </pic:cNvPicPr>
                  </pic:nvPicPr>
                  <pic:blipFill rotWithShape="1">
                    <a:blip r:embed="rId8">
                      <a:extLst>
                        <a:ext uri="{28A0092B-C50C-407E-A947-70E740481C1C}">
                          <a14:useLocalDpi xmlns:a14="http://schemas.microsoft.com/office/drawing/2010/main" val="0"/>
                        </a:ext>
                      </a:extLst>
                    </a:blip>
                    <a:srcRect r="4286"/>
                    <a:stretch/>
                  </pic:blipFill>
                  <pic:spPr bwMode="auto">
                    <a:xfrm>
                      <a:off x="0" y="0"/>
                      <a:ext cx="5486400" cy="1685925"/>
                    </a:xfrm>
                    <a:prstGeom prst="rect">
                      <a:avLst/>
                    </a:prstGeom>
                    <a:noFill/>
                    <a:ln>
                      <a:noFill/>
                    </a:ln>
                    <a:extLst>
                      <a:ext uri="{53640926-AAD7-44D8-BBD7-CCE9431645EC}">
                        <a14:shadowObscured xmlns:a14="http://schemas.microsoft.com/office/drawing/2010/main"/>
                      </a:ext>
                    </a:extLst>
                  </pic:spPr>
                </pic:pic>
              </a:graphicData>
            </a:graphic>
          </wp:anchor>
        </w:drawing>
      </w:r>
      <w:r w:rsidR="00172FDE">
        <w:rPr>
          <w:rFonts w:asciiTheme="minorBidi" w:hAnsiTheme="min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3189605</wp:posOffset>
                </wp:positionH>
                <wp:positionV relativeFrom="paragraph">
                  <wp:posOffset>101600</wp:posOffset>
                </wp:positionV>
                <wp:extent cx="276225" cy="2870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DC42C5" w:rsidRDefault="002F4C5C" w:rsidP="002F4C5C">
                            <w:pPr>
                              <w:rPr>
                                <w:rFonts w:asciiTheme="majorBidi" w:hAnsiTheme="majorBidi" w:cstheme="majorBidi"/>
                                <w:sz w:val="26"/>
                                <w:szCs w:val="2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51.15pt;margin-top:8pt;width:21.7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" filled="f" stroked="f" strokeweight=".5pt">
                <v:path arrowok="t"/>
                <v:textbox>
                  <w:txbxContent>
                    <w:p w:rsidR="002F4C5C" w:rsidRPr="00DC42C5" w:rsidRDefault="002F4C5C" w:rsidP="002F4C5C">
                      <w:pPr>
                        <w:rPr>
                          <w:rFonts w:asciiTheme="majorBidi" w:hAnsiTheme="majorBidi" w:cstheme="majorBidi"/>
                          <w:sz w:val="26"/>
                          <w:szCs w:val="26"/>
                        </w:rPr>
                      </w:pP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71552" behindDoc="0" locked="0" layoutInCell="1" allowOverlap="1">
                <wp:simplePos x="0" y="0"/>
                <wp:positionH relativeFrom="column">
                  <wp:posOffset>3227705</wp:posOffset>
                </wp:positionH>
                <wp:positionV relativeFrom="paragraph">
                  <wp:posOffset>27940</wp:posOffset>
                </wp:positionV>
                <wp:extent cx="276225" cy="28702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left:0;text-align:left;margin-left:254.15pt;margin-top:2.2pt;width:21.7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3360" behindDoc="0" locked="0" layoutInCell="1" allowOverlap="1">
                <wp:simplePos x="0" y="0"/>
                <wp:positionH relativeFrom="column">
                  <wp:posOffset>1177925</wp:posOffset>
                </wp:positionH>
                <wp:positionV relativeFrom="paragraph">
                  <wp:posOffset>5715</wp:posOffset>
                </wp:positionV>
                <wp:extent cx="276225" cy="2870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8" type="#_x0000_t202" style="position:absolute;left:0;text-align:left;margin-left:92.75pt;margin-top:.45pt;width:21.7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2021205</wp:posOffset>
                </wp:positionH>
                <wp:positionV relativeFrom="paragraph">
                  <wp:posOffset>3810</wp:posOffset>
                </wp:positionV>
                <wp:extent cx="276225" cy="2870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59.15pt;margin-top:.3pt;width:21.7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70528" behindDoc="0" locked="0" layoutInCell="1" allowOverlap="1">
                <wp:simplePos x="0" y="0"/>
                <wp:positionH relativeFrom="column">
                  <wp:posOffset>2314575</wp:posOffset>
                </wp:positionH>
                <wp:positionV relativeFrom="paragraph">
                  <wp:posOffset>6350</wp:posOffset>
                </wp:positionV>
                <wp:extent cx="276225" cy="2870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0" type="#_x0000_t202" style="position:absolute;left:0;text-align:left;margin-left:182.25pt;margin-top:.5pt;width:21.7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4576445</wp:posOffset>
                </wp:positionH>
                <wp:positionV relativeFrom="paragraph">
                  <wp:posOffset>5715</wp:posOffset>
                </wp:positionV>
                <wp:extent cx="276225" cy="28702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left:0;text-align:left;margin-left:360.35pt;margin-top:.45pt;width:21.7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3919220</wp:posOffset>
                </wp:positionH>
                <wp:positionV relativeFrom="paragraph">
                  <wp:posOffset>27305</wp:posOffset>
                </wp:positionV>
                <wp:extent cx="276225" cy="28702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left:0;text-align:left;margin-left:308.6pt;margin-top:2.15pt;width:21.7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8480" behindDoc="0" locked="0" layoutInCell="1" allowOverlap="1">
                <wp:simplePos x="0" y="0"/>
                <wp:positionH relativeFrom="column">
                  <wp:posOffset>4852670</wp:posOffset>
                </wp:positionH>
                <wp:positionV relativeFrom="paragraph">
                  <wp:posOffset>3810</wp:posOffset>
                </wp:positionV>
                <wp:extent cx="276225" cy="287020"/>
                <wp:effectExtent l="0" t="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3" type="#_x0000_t202" style="position:absolute;left:0;text-align:left;margin-left:382.1pt;margin-top:.3pt;width:21.7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6432" behindDoc="0" locked="0" layoutInCell="1" allowOverlap="1">
                <wp:simplePos x="0" y="0"/>
                <wp:positionH relativeFrom="column">
                  <wp:posOffset>4159885</wp:posOffset>
                </wp:positionH>
                <wp:positionV relativeFrom="paragraph">
                  <wp:posOffset>25400</wp:posOffset>
                </wp:positionV>
                <wp:extent cx="276225" cy="2870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4" type="#_x0000_t202" style="position:absolute;left:0;text-align:left;margin-left:327.55pt;margin-top:2pt;width:21.7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3503930</wp:posOffset>
                </wp:positionH>
                <wp:positionV relativeFrom="paragraph">
                  <wp:posOffset>27940</wp:posOffset>
                </wp:positionV>
                <wp:extent cx="276225" cy="28702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left:0;text-align:left;margin-left:275.9pt;margin-top:2.2pt;width:21.7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M </w:t>
                      </w:r>
                    </w:p>
                  </w:txbxContent>
                </v:textbox>
              </v:shape>
            </w:pict>
          </mc:Fallback>
        </mc:AlternateContent>
      </w:r>
      <w:r w:rsidR="00172FDE">
        <w:rPr>
          <w:rFonts w:asciiTheme="minorBidi" w:hAnsiTheme="min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863600</wp:posOffset>
                </wp:positionH>
                <wp:positionV relativeFrom="paragraph">
                  <wp:posOffset>5080</wp:posOffset>
                </wp:positionV>
                <wp:extent cx="276225" cy="2870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6" type="#_x0000_t202" style="position:absolute;left:0;text-align:left;margin-left:68pt;margin-top:.4pt;width:21.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" filled="f" stroked="f" strokeweight=".5pt">
                <v:path arrowok="t"/>
                <v:textbox>
                  <w:txbxContent>
                    <w:p w:rsidR="002F4C5C" w:rsidRPr="00A873B6" w:rsidRDefault="002F4C5C" w:rsidP="002F4C5C">
                      <w:pPr>
                        <w:rPr>
                          <w:rFonts w:asciiTheme="majorBidi" w:hAnsiTheme="majorBidi" w:cstheme="majorBidi"/>
                          <w:b/>
                          <w:bCs/>
                          <w:sz w:val="20"/>
                          <w:szCs w:val="20"/>
                        </w:rPr>
                      </w:pPr>
                      <w:r w:rsidRPr="00A873B6">
                        <w:rPr>
                          <w:rFonts w:asciiTheme="majorBidi" w:hAnsiTheme="majorBidi" w:cstheme="majorBidi"/>
                          <w:b/>
                          <w:bCs/>
                          <w:sz w:val="20"/>
                          <w:szCs w:val="20"/>
                        </w:rPr>
                        <w:t xml:space="preserve">N </w:t>
                      </w:r>
                    </w:p>
                  </w:txbxContent>
                </v:textbox>
              </v:shape>
            </w:pict>
          </mc:Fallback>
        </mc:AlternateContent>
      </w:r>
    </w:p>
    <w:p w:rsidR="002F4C5C" w:rsidRPr="00D2517C" w:rsidRDefault="00172FDE" w:rsidP="009B1468">
      <w:pPr>
        <w:spacing w:after="0" w:line="360" w:lineRule="auto"/>
        <w:jc w:val="both"/>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673600" behindDoc="0" locked="0" layoutInCell="1" allowOverlap="1">
                <wp:simplePos x="0" y="0"/>
                <wp:positionH relativeFrom="column">
                  <wp:posOffset>5943600</wp:posOffset>
                </wp:positionH>
                <wp:positionV relativeFrom="paragraph">
                  <wp:posOffset>18415</wp:posOffset>
                </wp:positionV>
                <wp:extent cx="876300" cy="473075"/>
                <wp:effectExtent l="0" t="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PCR</w:t>
                            </w:r>
                          </w:p>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Product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68pt;margin-top:1.45pt;width:69pt;height:3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" filled="f" stroked="f" strokeweight=".5pt">
                <v:path arrowok="t"/>
                <v:textbox>
                  <w:txbxContent>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PCR</w:t>
                      </w:r>
                    </w:p>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Product</w:t>
                      </w:r>
                    </w:p>
                  </w:txbxContent>
                </v:textbox>
              </v:shape>
            </w:pict>
          </mc:Fallback>
        </mc:AlternateContent>
      </w:r>
      <w:r>
        <w:rPr>
          <w:rFonts w:asciiTheme="minorBidi" w:hAnsiTheme="minorBidi"/>
          <w:noProof/>
          <w:sz w:val="24"/>
          <w:szCs w:val="24"/>
        </w:rPr>
        <mc:AlternateContent>
          <mc:Choice Requires="wps">
            <w:drawing>
              <wp:anchor distT="0" distB="0" distL="114300" distR="114300" simplePos="0" relativeHeight="251675648" behindDoc="0" locked="0" layoutInCell="1" allowOverlap="1">
                <wp:simplePos x="0" y="0"/>
                <wp:positionH relativeFrom="column">
                  <wp:posOffset>-657225</wp:posOffset>
                </wp:positionH>
                <wp:positionV relativeFrom="paragraph">
                  <wp:posOffset>196215</wp:posOffset>
                </wp:positionV>
                <wp:extent cx="876300" cy="473075"/>
                <wp:effectExtent l="0" t="0" r="0" b="317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300" cy="473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C5C" w:rsidRDefault="002F4C5C" w:rsidP="002F4C5C">
                            <w:pPr>
                              <w:spacing w:after="0" w:line="240" w:lineRule="auto"/>
                              <w:rPr>
                                <w:rFonts w:asciiTheme="majorBidi" w:hAnsiTheme="majorBidi" w:cstheme="majorBidi"/>
                                <w:b/>
                                <w:bCs/>
                                <w:sz w:val="20"/>
                                <w:szCs w:val="20"/>
                              </w:rPr>
                            </w:pPr>
                          </w:p>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250 bps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1.75pt;margin-top:15.45pt;width:69pt;height:3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" filled="f" stroked="f" strokeweight=".5pt">
                <v:path arrowok="t"/>
                <v:textbox>
                  <w:txbxContent>
                    <w:p w:rsidR="002F4C5C" w:rsidRDefault="002F4C5C" w:rsidP="002F4C5C">
                      <w:pPr>
                        <w:spacing w:after="0" w:line="240" w:lineRule="auto"/>
                        <w:rPr>
                          <w:rFonts w:asciiTheme="majorBidi" w:hAnsiTheme="majorBidi" w:cstheme="majorBidi"/>
                          <w:b/>
                          <w:bCs/>
                          <w:sz w:val="20"/>
                          <w:szCs w:val="20"/>
                        </w:rPr>
                      </w:pPr>
                    </w:p>
                    <w:p w:rsidR="002F4C5C" w:rsidRPr="00A873B6" w:rsidRDefault="002F4C5C" w:rsidP="002F4C5C">
                      <w:pPr>
                        <w:spacing w:after="0" w:line="240" w:lineRule="auto"/>
                        <w:rPr>
                          <w:rFonts w:asciiTheme="majorBidi" w:hAnsiTheme="majorBidi" w:cstheme="majorBidi"/>
                          <w:b/>
                          <w:bCs/>
                          <w:sz w:val="20"/>
                          <w:szCs w:val="20"/>
                        </w:rPr>
                      </w:pPr>
                      <w:r w:rsidRPr="00A873B6">
                        <w:rPr>
                          <w:rFonts w:asciiTheme="majorBidi" w:hAnsiTheme="majorBidi" w:cstheme="majorBidi"/>
                          <w:b/>
                          <w:bCs/>
                          <w:sz w:val="20"/>
                          <w:szCs w:val="20"/>
                        </w:rPr>
                        <w:t>250 bps</w:t>
                      </w:r>
                    </w:p>
                  </w:txbxContent>
                </v:textbox>
              </v:shape>
            </w:pict>
          </mc:Fallback>
        </mc:AlternateContent>
      </w:r>
    </w:p>
    <w:p w:rsidR="002F4C5C" w:rsidRPr="00D2517C" w:rsidRDefault="00172FDE" w:rsidP="009B1468">
      <w:pPr>
        <w:spacing w:after="0" w:line="360" w:lineRule="auto"/>
        <w:jc w:val="both"/>
        <w:rPr>
          <w:rFonts w:asciiTheme="minorBidi" w:hAnsiTheme="minorBidi"/>
          <w:sz w:val="24"/>
          <w:szCs w:val="24"/>
        </w:rPr>
      </w:pPr>
      <w:r>
        <w:rPr>
          <w:rFonts w:asciiTheme="minorBidi" w:hAnsiTheme="minorBidi"/>
          <w:noProof/>
          <w:sz w:val="24"/>
          <w:szCs w:val="24"/>
        </w:rPr>
        <mc:AlternateContent>
          <mc:Choice Requires="wps">
            <w:drawing>
              <wp:anchor distT="0" distB="0" distL="114300" distR="114300" simplePos="0" relativeHeight="251672576" behindDoc="0" locked="0" layoutInCell="1" allowOverlap="1">
                <wp:simplePos x="0" y="0"/>
                <wp:positionH relativeFrom="column">
                  <wp:posOffset>4624070</wp:posOffset>
                </wp:positionH>
                <wp:positionV relativeFrom="paragraph">
                  <wp:posOffset>58420</wp:posOffset>
                </wp:positionV>
                <wp:extent cx="1367155" cy="99695"/>
                <wp:effectExtent l="13970" t="60960" r="190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155" cy="9969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26" type="#_x0000_t34" style="position:absolute;margin-left:364.1pt;margin-top:4.6pt;width:107.65pt;height:7.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" adj="10795">
                <v:stroke endarrow="block"/>
              </v:shape>
            </w:pict>
          </mc:Fallback>
        </mc:AlternateContent>
      </w:r>
    </w:p>
    <w:p w:rsidR="002F4C5C" w:rsidRPr="00D2517C" w:rsidRDefault="00172FDE" w:rsidP="009B1468">
      <w:pPr>
        <w:spacing w:after="0" w:line="360" w:lineRule="auto"/>
        <w:jc w:val="both"/>
        <w:rPr>
          <w:rFonts w:asciiTheme="minorBidi" w:hAnsiTheme="minorBidi"/>
          <w:sz w:val="24"/>
          <w:szCs w:val="24"/>
        </w:rPr>
      </w:pPr>
      <w:r>
        <w:rPr>
          <w:rFonts w:asciiTheme="minorBidi" w:hAnsiTheme="minorBidi"/>
          <w:noProof/>
          <w:sz w:val="24"/>
          <w:szCs w:val="24"/>
        </w:rPr>
        <mc:AlternateContent>
          <mc:Choice Requires="wps">
            <w:drawing>
              <wp:anchor distT="4294967295" distB="4294967295" distL="114300" distR="114300" simplePos="0" relativeHeight="251674624" behindDoc="0" locked="0" layoutInCell="1" allowOverlap="1">
                <wp:simplePos x="0" y="0"/>
                <wp:positionH relativeFrom="column">
                  <wp:posOffset>-333375</wp:posOffset>
                </wp:positionH>
                <wp:positionV relativeFrom="paragraph">
                  <wp:posOffset>53974</wp:posOffset>
                </wp:positionV>
                <wp:extent cx="600075" cy="0"/>
                <wp:effectExtent l="38100" t="76200" r="0" b="952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26.25pt;margin-top:4.25pt;width:47.25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XFOgIAAGcEAAAOAAAAZHJzL2Uyb0RvYy54bWysVMGO2jAQvVfqP1i+QxIKL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">
                <v:stroke endarrow="block"/>
              </v:shape>
            </w:pict>
          </mc:Fallback>
        </mc:AlternateContent>
      </w:r>
    </w:p>
    <w:p w:rsidR="002F4C5C" w:rsidRPr="00D2517C" w:rsidRDefault="002F4C5C" w:rsidP="009B1468">
      <w:pPr>
        <w:spacing w:after="0" w:line="360" w:lineRule="auto"/>
        <w:jc w:val="both"/>
        <w:rPr>
          <w:rFonts w:asciiTheme="minorBidi" w:hAnsiTheme="minorBidi"/>
          <w:sz w:val="24"/>
          <w:szCs w:val="24"/>
        </w:rPr>
      </w:pPr>
    </w:p>
    <w:p w:rsidR="002F4C5C" w:rsidRPr="00D2517C" w:rsidRDefault="002F4C5C" w:rsidP="009B1468">
      <w:pPr>
        <w:spacing w:after="0" w:line="360" w:lineRule="auto"/>
        <w:jc w:val="both"/>
        <w:rPr>
          <w:rFonts w:asciiTheme="minorBidi" w:hAnsiTheme="minorBidi"/>
          <w:sz w:val="24"/>
          <w:szCs w:val="24"/>
        </w:rPr>
      </w:pPr>
    </w:p>
    <w:p w:rsidR="002F4C5C" w:rsidRPr="00D2517C" w:rsidRDefault="002F4C5C" w:rsidP="009B1468">
      <w:pPr>
        <w:spacing w:line="360" w:lineRule="auto"/>
        <w:jc w:val="both"/>
        <w:rPr>
          <w:rFonts w:asciiTheme="minorBidi" w:hAnsiTheme="minorBidi"/>
          <w:sz w:val="24"/>
          <w:szCs w:val="24"/>
        </w:rPr>
      </w:pPr>
    </w:p>
    <w:p w:rsidR="002F4C5C" w:rsidRPr="009A63EC" w:rsidRDefault="002F4C5C" w:rsidP="009B1468">
      <w:pPr>
        <w:spacing w:line="360" w:lineRule="auto"/>
        <w:jc w:val="both"/>
        <w:rPr>
          <w:rFonts w:asciiTheme="minorBidi" w:hAnsiTheme="minorBidi"/>
          <w:sz w:val="24"/>
          <w:szCs w:val="24"/>
          <w:rtl/>
        </w:rPr>
      </w:pPr>
      <w:r w:rsidRPr="009A63EC">
        <w:rPr>
          <w:rFonts w:asciiTheme="minorBidi" w:hAnsiTheme="minorBidi"/>
          <w:sz w:val="24"/>
          <w:szCs w:val="24"/>
        </w:rPr>
        <w:lastRenderedPageBreak/>
        <w:t>Figure 1: The PCR product for participant, the lane 1 ladder 50 pb,N= normal (wild type), M=mutant</w:t>
      </w:r>
    </w:p>
    <w:p w:rsidR="002F4C5C" w:rsidRPr="00D2517C" w:rsidRDefault="002F4C5C" w:rsidP="008A6CD6">
      <w:pPr>
        <w:spacing w:line="360" w:lineRule="auto"/>
        <w:jc w:val="both"/>
        <w:rPr>
          <w:rFonts w:asciiTheme="minorBidi" w:hAnsiTheme="minorBidi"/>
          <w:sz w:val="24"/>
          <w:szCs w:val="24"/>
        </w:rPr>
      </w:pPr>
      <w:r w:rsidRPr="00D2517C">
        <w:rPr>
          <w:rFonts w:asciiTheme="minorBidi" w:hAnsiTheme="minorBidi"/>
          <w:sz w:val="24"/>
          <w:szCs w:val="24"/>
        </w:rPr>
        <w:t xml:space="preserve">The factor V </w:t>
      </w:r>
      <w:r w:rsidR="00AC7092" w:rsidRPr="00D2517C">
        <w:rPr>
          <w:rFonts w:asciiTheme="minorBidi" w:hAnsiTheme="minorBidi"/>
          <w:sz w:val="24"/>
          <w:szCs w:val="24"/>
        </w:rPr>
        <w:t>gene is located on chromosome 1q23 and contains</w:t>
      </w:r>
      <w:r w:rsidRPr="00D2517C">
        <w:rPr>
          <w:rFonts w:asciiTheme="minorBidi" w:hAnsiTheme="minorBidi"/>
          <w:sz w:val="24"/>
          <w:szCs w:val="24"/>
        </w:rPr>
        <w:t xml:space="preserve"> 25 exons. The factor V gene defect occur in exon 10 where there is a G-A substitution at nucleotide 1691, this study showed that, there no significant change on factor V, this agree with study of Ibrahim found there was no mutation in FV, but disagree in that most significant affect patient in age 18-45 was oral contraceptive and in this study there no significant affect in age (</w:t>
      </w:r>
      <w:r w:rsidRPr="00D2517C">
        <w:rPr>
          <w:rFonts w:asciiTheme="minorBidi" w:hAnsiTheme="minorBidi"/>
          <w:i/>
          <w:iCs/>
          <w:sz w:val="24"/>
          <w:szCs w:val="24"/>
        </w:rPr>
        <w:t>P.value</w:t>
      </w:r>
      <w:r w:rsidRPr="00D2517C">
        <w:rPr>
          <w:rFonts w:asciiTheme="minorBidi" w:hAnsiTheme="minorBidi"/>
          <w:sz w:val="24"/>
          <w:szCs w:val="24"/>
        </w:rPr>
        <w:t xml:space="preserve">=0.5243) and there no correlation with mutation and other risk factors (age, gravity)[8].Also agree with study done by Piparva, on deep vein thrombosis in women taking oral contraceptive and notice that woman taking oral combined contraceptive for 3-5 months, developed DVT thrombosis of left leg, hereditary and acquired cause of DVT were excluded (there no mutation in factor V) and believe that risk of blood clot due to dose of estrogen </w:t>
      </w:r>
      <w:r w:rsidR="008A6CD6" w:rsidRPr="00D2517C">
        <w:rPr>
          <w:rFonts w:asciiTheme="minorBidi" w:hAnsiTheme="minorBidi"/>
          <w:sz w:val="24"/>
          <w:szCs w:val="24"/>
        </w:rPr>
        <w:t>(Piparva et al., 2011).</w:t>
      </w:r>
    </w:p>
    <w:p w:rsidR="002F4C5C" w:rsidRPr="00D2517C" w:rsidRDefault="002F4C5C" w:rsidP="008A6CD6">
      <w:pPr>
        <w:spacing w:line="360" w:lineRule="auto"/>
        <w:jc w:val="both"/>
        <w:rPr>
          <w:rFonts w:asciiTheme="minorBidi" w:hAnsiTheme="minorBidi"/>
          <w:sz w:val="24"/>
          <w:szCs w:val="24"/>
        </w:rPr>
      </w:pPr>
      <w:r w:rsidRPr="00D2517C">
        <w:rPr>
          <w:rFonts w:asciiTheme="minorBidi" w:hAnsiTheme="minorBidi"/>
          <w:sz w:val="24"/>
          <w:szCs w:val="24"/>
        </w:rPr>
        <w:t>In present study duration of use oral contraceptive found most cases use oral contraceptive for more than one year this mean use of oral contraceptive for long time act as protection by decrease risk of thrombosis this agree with study of Martinelli that was divided case group into three (short less than year, long (1-5) year, very long more than 5 years) and found the risk of VTE in oral contraceptive user decrease over time</w:t>
      </w:r>
      <w:r w:rsidR="008A6CD6" w:rsidRPr="00D2517C">
        <w:rPr>
          <w:rFonts w:asciiTheme="minorBidi" w:hAnsiTheme="minorBidi"/>
          <w:sz w:val="24"/>
          <w:szCs w:val="24"/>
        </w:rPr>
        <w:t xml:space="preserve"> (Martinelli et al., 2016)</w:t>
      </w:r>
    </w:p>
    <w:p w:rsidR="002F4C5C" w:rsidRPr="00D2517C" w:rsidRDefault="002F4C5C" w:rsidP="008A6CD6">
      <w:pPr>
        <w:spacing w:line="360" w:lineRule="auto"/>
        <w:jc w:val="both"/>
        <w:rPr>
          <w:rFonts w:asciiTheme="minorBidi" w:hAnsiTheme="minorBidi"/>
          <w:sz w:val="24"/>
          <w:szCs w:val="24"/>
        </w:rPr>
      </w:pPr>
      <w:r w:rsidRPr="00D2517C">
        <w:rPr>
          <w:rFonts w:asciiTheme="minorBidi" w:hAnsiTheme="minorBidi"/>
          <w:sz w:val="24"/>
          <w:szCs w:val="24"/>
        </w:rPr>
        <w:t>In our study most of cases use levonorgestrel that mean this type of oral contraceptive not cause or have lower effect, this agree withVinogradova study risk of venous thromboembolism and exposure to combined oral contraceptive and found that type of progestogen hormone (drospirenone, desogestrel, gestodene and cyproterone) were associated with increased risk of venous thromboembolism when compared to pill containing older progestogen (levonorgestrel a</w:t>
      </w:r>
      <w:r w:rsidR="008A6CD6" w:rsidRPr="00D2517C">
        <w:rPr>
          <w:rFonts w:asciiTheme="minorBidi" w:hAnsiTheme="minorBidi"/>
          <w:sz w:val="24"/>
          <w:szCs w:val="24"/>
        </w:rPr>
        <w:t>nd norethisterone) (Vinogradova et al., 2014).</w:t>
      </w:r>
    </w:p>
    <w:p w:rsidR="002F4C5C" w:rsidRPr="00D2517C" w:rsidRDefault="002F4C5C" w:rsidP="008A6CD6">
      <w:pPr>
        <w:spacing w:line="360" w:lineRule="auto"/>
        <w:jc w:val="both"/>
        <w:rPr>
          <w:rFonts w:asciiTheme="minorBidi" w:hAnsiTheme="minorBidi"/>
          <w:sz w:val="24"/>
          <w:szCs w:val="24"/>
        </w:rPr>
      </w:pPr>
      <w:r w:rsidRPr="00D2517C">
        <w:rPr>
          <w:rFonts w:asciiTheme="minorBidi" w:hAnsiTheme="minorBidi"/>
          <w:sz w:val="24"/>
          <w:szCs w:val="24"/>
        </w:rPr>
        <w:t xml:space="preserve">Effect of oral contraceptive increased probability of VTE development depend on dose in medication and type of contraceptive used </w:t>
      </w:r>
      <w:r w:rsidR="008A6CD6" w:rsidRPr="00D2517C">
        <w:rPr>
          <w:rFonts w:asciiTheme="minorBidi" w:hAnsiTheme="minorBidi"/>
          <w:sz w:val="24"/>
          <w:szCs w:val="24"/>
        </w:rPr>
        <w:t>(Wolski, 2014).</w:t>
      </w:r>
    </w:p>
    <w:p w:rsidR="002F4C5C" w:rsidRPr="00D2517C" w:rsidRDefault="002F4C5C" w:rsidP="008A6CD6">
      <w:pPr>
        <w:spacing w:line="360" w:lineRule="auto"/>
        <w:jc w:val="both"/>
        <w:rPr>
          <w:rFonts w:asciiTheme="minorBidi" w:eastAsia="Times New Roman" w:hAnsiTheme="minorBidi"/>
          <w:noProof/>
          <w:sz w:val="24"/>
          <w:szCs w:val="24"/>
          <w:rtl/>
        </w:rPr>
      </w:pPr>
      <w:r w:rsidRPr="00D2517C">
        <w:rPr>
          <w:rFonts w:asciiTheme="minorBidi" w:eastAsia="Times New Roman" w:hAnsiTheme="minorBidi"/>
          <w:noProof/>
          <w:sz w:val="24"/>
          <w:szCs w:val="24"/>
        </w:rPr>
        <w:t>The study conclude that, oral contraceptive pill that not had  effect on factor V and there no correlation between mutation and other risk factor (age, gravity).</w:t>
      </w:r>
    </w:p>
    <w:p w:rsidR="002F4C5C" w:rsidRPr="00D2517C" w:rsidRDefault="002F4C5C" w:rsidP="008A6CD6">
      <w:pPr>
        <w:spacing w:line="360" w:lineRule="auto"/>
        <w:jc w:val="both"/>
        <w:rPr>
          <w:rFonts w:asciiTheme="minorBidi" w:eastAsia="Times New Roman" w:hAnsiTheme="minorBidi"/>
          <w:b/>
          <w:bCs/>
          <w:noProof/>
          <w:sz w:val="24"/>
          <w:szCs w:val="24"/>
        </w:rPr>
      </w:pPr>
      <w:r w:rsidRPr="00D2517C">
        <w:rPr>
          <w:rFonts w:asciiTheme="minorBidi" w:eastAsia="Times New Roman" w:hAnsiTheme="minorBidi"/>
          <w:b/>
          <w:bCs/>
          <w:noProof/>
          <w:sz w:val="24"/>
          <w:szCs w:val="24"/>
        </w:rPr>
        <w:lastRenderedPageBreak/>
        <w:t>Aknowlogment</w:t>
      </w:r>
    </w:p>
    <w:p w:rsidR="002F4C5C" w:rsidRPr="00D2517C" w:rsidRDefault="009A63EC" w:rsidP="008A6CD6">
      <w:pPr>
        <w:spacing w:line="360" w:lineRule="auto"/>
        <w:jc w:val="both"/>
        <w:rPr>
          <w:rFonts w:asciiTheme="minorBidi" w:eastAsia="Times New Roman" w:hAnsiTheme="minorBidi"/>
          <w:noProof/>
          <w:sz w:val="24"/>
          <w:szCs w:val="24"/>
          <w:rtl/>
        </w:rPr>
      </w:pPr>
      <w:r>
        <w:rPr>
          <w:rFonts w:asciiTheme="minorBidi" w:eastAsia="Times New Roman" w:hAnsiTheme="minorBidi"/>
          <w:noProof/>
          <w:sz w:val="24"/>
          <w:szCs w:val="24"/>
        </w:rPr>
        <w:t xml:space="preserve">              </w:t>
      </w:r>
      <w:r w:rsidR="002F4C5C" w:rsidRPr="00D2517C">
        <w:rPr>
          <w:rFonts w:asciiTheme="minorBidi" w:eastAsia="Times New Roman" w:hAnsiTheme="minorBidi"/>
          <w:noProof/>
          <w:sz w:val="24"/>
          <w:szCs w:val="24"/>
        </w:rPr>
        <w:t>We thank deeply our collegues Dr.Abdallah Mosa and Dr.Hosham Noor Eldaim for their help and thank for staff in research lab of medical laboratory science, Sudan university of science and technology, Finally, thanks extended to all particpstants and volunteers in this study</w:t>
      </w:r>
    </w:p>
    <w:p w:rsidR="00B177A7" w:rsidRPr="00D2517C" w:rsidRDefault="002F4C5C" w:rsidP="00B177A7">
      <w:pPr>
        <w:spacing w:line="360" w:lineRule="auto"/>
        <w:jc w:val="both"/>
        <w:rPr>
          <w:rFonts w:asciiTheme="minorBidi" w:eastAsia="Times New Roman" w:hAnsiTheme="minorBidi"/>
          <w:b/>
          <w:bCs/>
          <w:noProof/>
          <w:sz w:val="24"/>
          <w:szCs w:val="24"/>
        </w:rPr>
      </w:pPr>
      <w:r w:rsidRPr="00D2517C">
        <w:rPr>
          <w:rFonts w:asciiTheme="minorBidi" w:eastAsia="Times New Roman" w:hAnsiTheme="minorBidi"/>
          <w:b/>
          <w:bCs/>
          <w:noProof/>
          <w:sz w:val="24"/>
          <w:szCs w:val="24"/>
        </w:rPr>
        <w:t>References</w:t>
      </w:r>
    </w:p>
    <w:p w:rsidR="00B177A7" w:rsidRPr="00D2517C" w:rsidRDefault="00B177A7" w:rsidP="00D2517C">
      <w:pPr>
        <w:spacing w:line="360" w:lineRule="auto"/>
        <w:rPr>
          <w:rFonts w:asciiTheme="minorBidi" w:hAnsiTheme="minorBidi"/>
          <w:sz w:val="24"/>
          <w:szCs w:val="24"/>
        </w:rPr>
      </w:pPr>
      <w:r w:rsidRPr="00D2517C">
        <w:rPr>
          <w:rFonts w:asciiTheme="minorBidi" w:hAnsiTheme="minorBidi"/>
          <w:sz w:val="24"/>
          <w:szCs w:val="24"/>
        </w:rPr>
        <w:t>Adamopoulou and V. Vgeneopoulou I..</w:t>
      </w:r>
      <w:r w:rsidR="00D2517C">
        <w:rPr>
          <w:rFonts w:asciiTheme="minorBidi" w:hAnsiTheme="minorBidi"/>
          <w:sz w:val="24"/>
          <w:szCs w:val="24"/>
        </w:rPr>
        <w:t>(</w:t>
      </w:r>
      <w:r w:rsidR="00D2517C" w:rsidRPr="00D2517C">
        <w:rPr>
          <w:rFonts w:asciiTheme="minorBidi" w:hAnsiTheme="minorBidi"/>
          <w:sz w:val="24"/>
          <w:szCs w:val="24"/>
        </w:rPr>
        <w:t>2015</w:t>
      </w:r>
      <w:r w:rsidR="00D2517C">
        <w:rPr>
          <w:rFonts w:asciiTheme="minorBidi" w:hAnsiTheme="minorBidi"/>
          <w:sz w:val="24"/>
          <w:szCs w:val="24"/>
        </w:rPr>
        <w:t>).</w:t>
      </w:r>
      <w:r w:rsidR="00D2517C" w:rsidRPr="00D2517C">
        <w:rPr>
          <w:rFonts w:asciiTheme="minorBidi" w:hAnsiTheme="minorBidi"/>
          <w:sz w:val="24"/>
          <w:szCs w:val="24"/>
        </w:rPr>
        <w:t xml:space="preserve"> </w:t>
      </w:r>
      <w:r w:rsidRPr="00D2517C">
        <w:rPr>
          <w:rFonts w:asciiTheme="minorBidi" w:hAnsiTheme="minorBidi"/>
          <w:sz w:val="24"/>
          <w:szCs w:val="24"/>
        </w:rPr>
        <w:t xml:space="preserve">Hormonal Contraception: new insights on risk of venous thromboembolism’’. </w:t>
      </w:r>
      <w:r w:rsidR="00D2517C">
        <w:rPr>
          <w:rFonts w:asciiTheme="minorBidi" w:hAnsiTheme="minorBidi"/>
          <w:i/>
          <w:iCs/>
          <w:sz w:val="24"/>
          <w:szCs w:val="24"/>
        </w:rPr>
        <w:t xml:space="preserve">International Journal of Caring </w:t>
      </w:r>
      <w:r w:rsidRPr="00D2517C">
        <w:rPr>
          <w:rFonts w:asciiTheme="minorBidi" w:hAnsiTheme="minorBidi"/>
          <w:i/>
          <w:iCs/>
          <w:sz w:val="24"/>
          <w:szCs w:val="24"/>
        </w:rPr>
        <w:t>Scinces,</w:t>
      </w:r>
      <w:r w:rsidR="00D2517C" w:rsidRPr="00D2517C">
        <w:rPr>
          <w:rFonts w:asciiTheme="minorBidi" w:hAnsiTheme="minorBidi"/>
          <w:sz w:val="24"/>
          <w:szCs w:val="24"/>
        </w:rPr>
        <w:t xml:space="preserve"> </w:t>
      </w:r>
      <w:r w:rsidRPr="00D2517C">
        <w:rPr>
          <w:rFonts w:asciiTheme="minorBidi" w:hAnsiTheme="minorBidi"/>
          <w:sz w:val="24"/>
          <w:szCs w:val="24"/>
        </w:rPr>
        <w:t>8</w:t>
      </w:r>
      <w:r w:rsidR="00D2517C">
        <w:rPr>
          <w:rFonts w:asciiTheme="minorBidi" w:hAnsiTheme="minorBidi"/>
          <w:sz w:val="24"/>
          <w:szCs w:val="24"/>
        </w:rPr>
        <w:t>:</w:t>
      </w:r>
      <w:r w:rsidRPr="00D2517C">
        <w:rPr>
          <w:rFonts w:asciiTheme="minorBidi" w:hAnsiTheme="minorBidi"/>
          <w:sz w:val="24"/>
          <w:szCs w:val="24"/>
        </w:rPr>
        <w:t xml:space="preserve">843-852, </w:t>
      </w:r>
    </w:p>
    <w:p w:rsidR="00B177A7" w:rsidRPr="00D2517C" w:rsidRDefault="00B177A7"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 xml:space="preserve">Aranda, A., &amp; Pascual, A. (2001). Nuclear hormone receptors and gene expression. </w:t>
      </w:r>
      <w:r w:rsidRPr="00D2517C">
        <w:rPr>
          <w:rFonts w:asciiTheme="minorBidi" w:eastAsia="Times New Roman" w:hAnsiTheme="minorBidi"/>
          <w:i/>
          <w:iCs/>
          <w:sz w:val="24"/>
          <w:szCs w:val="24"/>
        </w:rPr>
        <w:t>Physiological reviews</w:t>
      </w:r>
      <w:r w:rsidRPr="00D2517C">
        <w:rPr>
          <w:rFonts w:asciiTheme="minorBidi" w:eastAsia="Times New Roman" w:hAnsiTheme="minorBidi"/>
          <w:sz w:val="24"/>
          <w:szCs w:val="24"/>
        </w:rPr>
        <w:t xml:space="preserve">, </w:t>
      </w:r>
      <w:r w:rsidRPr="00D2517C">
        <w:rPr>
          <w:rFonts w:asciiTheme="minorBidi" w:eastAsia="Times New Roman" w:hAnsiTheme="minorBidi"/>
          <w:i/>
          <w:iCs/>
          <w:sz w:val="24"/>
          <w:szCs w:val="24"/>
        </w:rPr>
        <w:t>81</w:t>
      </w:r>
      <w:r w:rsidRPr="00D2517C">
        <w:rPr>
          <w:rFonts w:asciiTheme="minorBidi" w:eastAsia="Times New Roman" w:hAnsiTheme="minorBidi"/>
          <w:sz w:val="24"/>
          <w:szCs w:val="24"/>
        </w:rPr>
        <w:t>(3), 1269-1304.</w:t>
      </w:r>
    </w:p>
    <w:p w:rsidR="00B177A7" w:rsidRPr="00D2517C" w:rsidRDefault="00B177A7"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 xml:space="preserve">Bassett, J. D., Harvey, C. B., &amp; Williams, G. R. (2003). Mechanisms of thyroid hormone receptor-specific nuclear and extra nuclear actions. </w:t>
      </w:r>
      <w:r w:rsidRPr="00D2517C">
        <w:rPr>
          <w:rFonts w:asciiTheme="minorBidi" w:eastAsia="Times New Roman" w:hAnsiTheme="minorBidi"/>
          <w:i/>
          <w:iCs/>
          <w:sz w:val="24"/>
          <w:szCs w:val="24"/>
        </w:rPr>
        <w:t>Molecular and cellular endocrinology</w:t>
      </w:r>
      <w:r w:rsidRPr="00D2517C">
        <w:rPr>
          <w:rFonts w:asciiTheme="minorBidi" w:eastAsia="Times New Roman" w:hAnsiTheme="minorBidi"/>
          <w:sz w:val="24"/>
          <w:szCs w:val="24"/>
        </w:rPr>
        <w:t xml:space="preserve">, </w:t>
      </w:r>
      <w:r w:rsidRPr="00D2517C">
        <w:rPr>
          <w:rFonts w:asciiTheme="minorBidi" w:eastAsia="Times New Roman" w:hAnsiTheme="minorBidi"/>
          <w:i/>
          <w:iCs/>
          <w:sz w:val="24"/>
          <w:szCs w:val="24"/>
        </w:rPr>
        <w:t>213</w:t>
      </w:r>
      <w:r w:rsidRPr="00D2517C">
        <w:rPr>
          <w:rFonts w:asciiTheme="minorBidi" w:eastAsia="Times New Roman" w:hAnsiTheme="minorBidi"/>
          <w:sz w:val="24"/>
          <w:szCs w:val="24"/>
        </w:rPr>
        <w:t>(1), 1-11.</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Chomczynski, P. and Sacchi N.,</w:t>
      </w:r>
      <w:r w:rsidR="00D2517C">
        <w:rPr>
          <w:rFonts w:asciiTheme="minorBidi" w:hAnsiTheme="minorBidi"/>
          <w:sz w:val="24"/>
          <w:szCs w:val="24"/>
        </w:rPr>
        <w:t>(2006).</w:t>
      </w:r>
      <w:r w:rsidR="00D2517C" w:rsidRPr="00D2517C">
        <w:rPr>
          <w:rFonts w:asciiTheme="minorBidi" w:hAnsiTheme="minorBidi"/>
          <w:sz w:val="24"/>
          <w:szCs w:val="24"/>
        </w:rPr>
        <w:t xml:space="preserve"> </w:t>
      </w:r>
      <w:r w:rsidRPr="00D2517C">
        <w:rPr>
          <w:rFonts w:asciiTheme="minorBidi" w:hAnsiTheme="minorBidi"/>
          <w:sz w:val="24"/>
          <w:szCs w:val="24"/>
        </w:rPr>
        <w:t xml:space="preserve">The single – step method of RNA isolation by acid guanidiniumthiocyanate- phenol- choloroform extraction: twenty- something years on’’ </w:t>
      </w:r>
      <w:r w:rsidRPr="00D2517C">
        <w:rPr>
          <w:rFonts w:asciiTheme="minorBidi" w:hAnsiTheme="minorBidi"/>
          <w:i/>
          <w:iCs/>
          <w:sz w:val="24"/>
          <w:szCs w:val="24"/>
        </w:rPr>
        <w:t>. Nature Protocols,</w:t>
      </w:r>
      <w:r w:rsidRPr="00D2517C">
        <w:rPr>
          <w:rFonts w:asciiTheme="minorBidi" w:hAnsiTheme="minorBidi"/>
          <w:sz w:val="24"/>
          <w:szCs w:val="24"/>
        </w:rPr>
        <w:t>582</w:t>
      </w:r>
      <w:r w:rsidR="00D2517C">
        <w:rPr>
          <w:rFonts w:asciiTheme="minorBidi" w:hAnsiTheme="minorBidi"/>
          <w:b/>
          <w:bCs/>
          <w:sz w:val="24"/>
          <w:szCs w:val="24"/>
        </w:rPr>
        <w:t>:</w:t>
      </w:r>
      <w:r w:rsidRPr="00D2517C">
        <w:rPr>
          <w:rFonts w:asciiTheme="minorBidi" w:hAnsiTheme="minorBidi"/>
          <w:sz w:val="24"/>
          <w:szCs w:val="24"/>
        </w:rPr>
        <w:t>.2</w:t>
      </w:r>
      <w:r w:rsidR="00D2517C">
        <w:rPr>
          <w:rFonts w:asciiTheme="minorBidi" w:hAnsiTheme="minorBidi"/>
          <w:sz w:val="24"/>
          <w:szCs w:val="24"/>
        </w:rPr>
        <w:t>.</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Dajani, R,Arafat A. Hakooz N.,.,Albbadi Z,.Yousef A,.Elkateeb M and Quadan F.</w:t>
      </w:r>
      <w:r w:rsidR="00D2517C">
        <w:rPr>
          <w:rFonts w:asciiTheme="minorBidi" w:hAnsiTheme="minorBidi"/>
          <w:sz w:val="24"/>
          <w:szCs w:val="24"/>
        </w:rPr>
        <w:t xml:space="preserve"> (2013).</w:t>
      </w:r>
      <w:r w:rsidR="00D2517C" w:rsidRPr="00D2517C">
        <w:rPr>
          <w:rFonts w:asciiTheme="minorBidi" w:hAnsiTheme="minorBidi"/>
          <w:sz w:val="24"/>
          <w:szCs w:val="24"/>
        </w:rPr>
        <w:t xml:space="preserve"> </w:t>
      </w:r>
      <w:r w:rsidRPr="00D2517C">
        <w:rPr>
          <w:rFonts w:asciiTheme="minorBidi" w:hAnsiTheme="minorBidi"/>
          <w:sz w:val="24"/>
          <w:szCs w:val="24"/>
        </w:rPr>
        <w:t>Polymorphism in fator II and factor V thrombophilia gene among circssians in Jordan”.</w:t>
      </w:r>
      <w:r w:rsidRPr="00D2517C">
        <w:rPr>
          <w:rFonts w:asciiTheme="minorBidi" w:hAnsiTheme="minorBidi"/>
          <w:i/>
          <w:iCs/>
          <w:sz w:val="24"/>
          <w:szCs w:val="24"/>
        </w:rPr>
        <w:t>Journal of Thrombosis and thrombolysis.</w:t>
      </w:r>
      <w:r w:rsidRPr="00D2517C">
        <w:rPr>
          <w:rFonts w:asciiTheme="minorBidi" w:hAnsiTheme="minorBidi"/>
          <w:sz w:val="24"/>
          <w:szCs w:val="24"/>
        </w:rPr>
        <w:t>35</w:t>
      </w:r>
      <w:r w:rsidR="00D2517C">
        <w:rPr>
          <w:rFonts w:asciiTheme="minorBidi" w:hAnsiTheme="minorBidi"/>
          <w:sz w:val="24"/>
          <w:szCs w:val="24"/>
        </w:rPr>
        <w:t>:</w:t>
      </w:r>
      <w:r w:rsidRPr="00D2517C">
        <w:rPr>
          <w:rFonts w:asciiTheme="minorBidi" w:hAnsiTheme="minorBidi"/>
          <w:sz w:val="24"/>
          <w:szCs w:val="24"/>
        </w:rPr>
        <w:t>83-89</w:t>
      </w:r>
      <w:r w:rsidR="00D2517C">
        <w:rPr>
          <w:rFonts w:asciiTheme="minorBidi" w:hAnsiTheme="minorBidi"/>
          <w:sz w:val="24"/>
          <w:szCs w:val="24"/>
        </w:rPr>
        <w:t>.</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 xml:space="preserve">Dhont, M. (2010). History of oral contraception. </w:t>
      </w:r>
      <w:r w:rsidRPr="00D2517C">
        <w:rPr>
          <w:rFonts w:asciiTheme="minorBidi" w:hAnsiTheme="minorBidi"/>
          <w:i/>
          <w:iCs/>
          <w:sz w:val="24"/>
          <w:szCs w:val="24"/>
        </w:rPr>
        <w:t>The European Journal of Contraception &amp; Reproductive Health Care</w:t>
      </w:r>
      <w:r w:rsidRPr="00D2517C">
        <w:rPr>
          <w:rFonts w:asciiTheme="minorBidi" w:hAnsiTheme="minorBidi"/>
          <w:sz w:val="24"/>
          <w:szCs w:val="24"/>
        </w:rPr>
        <w:t xml:space="preserve">, </w:t>
      </w:r>
      <w:r w:rsidRPr="00D2517C">
        <w:rPr>
          <w:rFonts w:asciiTheme="minorBidi" w:hAnsiTheme="minorBidi"/>
          <w:i/>
          <w:iCs/>
          <w:sz w:val="24"/>
          <w:szCs w:val="24"/>
        </w:rPr>
        <w:t>15</w:t>
      </w:r>
      <w:r w:rsidRPr="00D2517C">
        <w:rPr>
          <w:rFonts w:asciiTheme="minorBidi" w:hAnsiTheme="minorBidi"/>
          <w:sz w:val="24"/>
          <w:szCs w:val="24"/>
        </w:rPr>
        <w:t>(sup2), S12-S18.</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 xml:space="preserve">Fogelson, A. L., &amp; Neeves, K. B. (2015). Fluid mechanics of blood clot formation. </w:t>
      </w:r>
      <w:r w:rsidRPr="00D2517C">
        <w:rPr>
          <w:rFonts w:asciiTheme="minorBidi" w:hAnsiTheme="minorBidi"/>
          <w:i/>
          <w:iCs/>
          <w:sz w:val="24"/>
          <w:szCs w:val="24"/>
        </w:rPr>
        <w:t>Annual review of fluid mechanics</w:t>
      </w:r>
      <w:r w:rsidRPr="00D2517C">
        <w:rPr>
          <w:rFonts w:asciiTheme="minorBidi" w:hAnsiTheme="minorBidi"/>
          <w:sz w:val="24"/>
          <w:szCs w:val="24"/>
        </w:rPr>
        <w:t xml:space="preserve">, </w:t>
      </w:r>
      <w:r w:rsidRPr="00D2517C">
        <w:rPr>
          <w:rFonts w:asciiTheme="minorBidi" w:hAnsiTheme="minorBidi"/>
          <w:i/>
          <w:iCs/>
          <w:sz w:val="24"/>
          <w:szCs w:val="24"/>
        </w:rPr>
        <w:t>47</w:t>
      </w:r>
      <w:r w:rsidRPr="00D2517C">
        <w:rPr>
          <w:rFonts w:asciiTheme="minorBidi" w:hAnsiTheme="minorBidi"/>
          <w:sz w:val="24"/>
          <w:szCs w:val="24"/>
        </w:rPr>
        <w:t>, 377-403.</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Gruber P.N and Bull M.T</w:t>
      </w:r>
      <w:r w:rsidR="00D2517C">
        <w:rPr>
          <w:rFonts w:asciiTheme="minorBidi" w:hAnsiTheme="minorBidi"/>
          <w:sz w:val="24"/>
          <w:szCs w:val="24"/>
        </w:rPr>
        <w:t xml:space="preserve"> (</w:t>
      </w:r>
      <w:r w:rsidR="00D2517C" w:rsidRPr="00D2517C">
        <w:rPr>
          <w:rFonts w:asciiTheme="minorBidi" w:hAnsiTheme="minorBidi"/>
          <w:sz w:val="24"/>
          <w:szCs w:val="24"/>
        </w:rPr>
        <w:t>2012</w:t>
      </w:r>
      <w:r w:rsidR="00D2517C">
        <w:rPr>
          <w:rFonts w:asciiTheme="minorBidi" w:hAnsiTheme="minorBidi"/>
          <w:sz w:val="24"/>
          <w:szCs w:val="24"/>
        </w:rPr>
        <w:t>)</w:t>
      </w:r>
      <w:r w:rsidRPr="00D2517C">
        <w:rPr>
          <w:rFonts w:asciiTheme="minorBidi" w:hAnsiTheme="minorBidi"/>
          <w:sz w:val="24"/>
          <w:szCs w:val="24"/>
        </w:rPr>
        <w:t>.</w:t>
      </w:r>
      <w:r w:rsidRPr="00D2517C">
        <w:rPr>
          <w:rFonts w:asciiTheme="minorBidi" w:hAnsiTheme="minorBidi"/>
          <w:i/>
          <w:iCs/>
          <w:sz w:val="24"/>
          <w:szCs w:val="24"/>
        </w:rPr>
        <w:t>Clinical medicine</w:t>
      </w:r>
      <w:r w:rsidRPr="00D2517C">
        <w:rPr>
          <w:rFonts w:asciiTheme="minorBidi" w:hAnsiTheme="minorBidi"/>
          <w:sz w:val="24"/>
          <w:szCs w:val="24"/>
        </w:rPr>
        <w:t>.Philadelphia, Elsevier,</w:t>
      </w:r>
      <w:r w:rsidR="00D2517C" w:rsidRPr="00D2517C">
        <w:rPr>
          <w:rFonts w:asciiTheme="minorBidi" w:hAnsiTheme="minorBidi"/>
          <w:sz w:val="24"/>
          <w:szCs w:val="24"/>
        </w:rPr>
        <w:t xml:space="preserve"> </w:t>
      </w:r>
      <w:r w:rsidRPr="00D2517C">
        <w:rPr>
          <w:rFonts w:asciiTheme="minorBidi" w:hAnsiTheme="minorBidi"/>
          <w:sz w:val="24"/>
          <w:szCs w:val="24"/>
        </w:rPr>
        <w:t>947-97.</w:t>
      </w:r>
    </w:p>
    <w:p w:rsidR="00B177A7" w:rsidRPr="00D2517C" w:rsidRDefault="00B177A7" w:rsidP="00D2517C">
      <w:pPr>
        <w:spacing w:line="360" w:lineRule="auto"/>
        <w:jc w:val="both"/>
        <w:rPr>
          <w:rFonts w:asciiTheme="minorBidi" w:eastAsia="Times New Roman" w:hAnsiTheme="minorBidi"/>
          <w:b/>
          <w:bCs/>
          <w:noProof/>
          <w:sz w:val="24"/>
          <w:szCs w:val="24"/>
        </w:rPr>
      </w:pPr>
      <w:r w:rsidRPr="00D2517C">
        <w:rPr>
          <w:rFonts w:asciiTheme="minorBidi" w:hAnsiTheme="minorBidi"/>
          <w:sz w:val="24"/>
          <w:szCs w:val="24"/>
        </w:rPr>
        <w:t>Hall K.S, White K.O ., Reame N. and Westhoff C.</w:t>
      </w:r>
      <w:r w:rsidR="00D2517C">
        <w:rPr>
          <w:rFonts w:asciiTheme="minorBidi" w:hAnsiTheme="minorBidi"/>
          <w:sz w:val="24"/>
          <w:szCs w:val="24"/>
        </w:rPr>
        <w:t xml:space="preserve"> (2011). </w:t>
      </w:r>
      <w:r w:rsidRPr="00D2517C">
        <w:rPr>
          <w:rFonts w:asciiTheme="minorBidi" w:hAnsiTheme="minorBidi"/>
          <w:sz w:val="24"/>
          <w:szCs w:val="24"/>
        </w:rPr>
        <w:t>Studying the use of oral contraception: a rewiew of measurement approaches”.</w:t>
      </w:r>
      <w:r w:rsidRPr="00D2517C">
        <w:rPr>
          <w:rFonts w:asciiTheme="minorBidi" w:hAnsiTheme="minorBidi"/>
          <w:i/>
          <w:iCs/>
          <w:sz w:val="24"/>
          <w:szCs w:val="24"/>
        </w:rPr>
        <w:t>Journal of women’s health</w:t>
      </w:r>
      <w:r w:rsidR="00D2517C">
        <w:rPr>
          <w:rFonts w:asciiTheme="minorBidi" w:hAnsiTheme="minorBidi"/>
          <w:sz w:val="24"/>
          <w:szCs w:val="24"/>
        </w:rPr>
        <w:t xml:space="preserve"> , 19:</w:t>
      </w:r>
      <w:r w:rsidR="00D2517C" w:rsidRPr="00D2517C">
        <w:rPr>
          <w:rFonts w:asciiTheme="minorBidi" w:hAnsiTheme="minorBidi"/>
          <w:sz w:val="24"/>
          <w:szCs w:val="24"/>
        </w:rPr>
        <w:t xml:space="preserve"> </w:t>
      </w:r>
      <w:r w:rsidRPr="00D2517C">
        <w:rPr>
          <w:rFonts w:asciiTheme="minorBidi" w:hAnsiTheme="minorBidi"/>
          <w:sz w:val="24"/>
          <w:szCs w:val="24"/>
        </w:rPr>
        <w:t>2203-2210,2011.</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lastRenderedPageBreak/>
        <w:t xml:space="preserve">Hoppe, B. (2014). Fibrinogen and factor XIII at the intersection of coagulation, fibrinolysis and inflammation. </w:t>
      </w:r>
      <w:r w:rsidRPr="00D2517C">
        <w:rPr>
          <w:rFonts w:asciiTheme="minorBidi" w:hAnsiTheme="minorBidi"/>
          <w:i/>
          <w:iCs/>
          <w:sz w:val="24"/>
          <w:szCs w:val="24"/>
        </w:rPr>
        <w:t>Thrombosis and haemostasis</w:t>
      </w:r>
      <w:r w:rsidRPr="00D2517C">
        <w:rPr>
          <w:rFonts w:asciiTheme="minorBidi" w:hAnsiTheme="minorBidi"/>
          <w:sz w:val="24"/>
          <w:szCs w:val="24"/>
        </w:rPr>
        <w:t xml:space="preserve">, </w:t>
      </w:r>
      <w:r w:rsidRPr="00D2517C">
        <w:rPr>
          <w:rFonts w:asciiTheme="minorBidi" w:hAnsiTheme="minorBidi"/>
          <w:i/>
          <w:iCs/>
          <w:sz w:val="24"/>
          <w:szCs w:val="24"/>
        </w:rPr>
        <w:t>112</w:t>
      </w:r>
      <w:r w:rsidRPr="00D2517C">
        <w:rPr>
          <w:rFonts w:asciiTheme="minorBidi" w:hAnsiTheme="minorBidi"/>
          <w:sz w:val="24"/>
          <w:szCs w:val="24"/>
        </w:rPr>
        <w:t>(10), 649-658.</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Ibrahim N.A,.Hassan F.M,.Elagari M.M, and.Abdalla S.E.</w:t>
      </w:r>
      <w:r w:rsidR="00D2517C">
        <w:rPr>
          <w:rFonts w:asciiTheme="minorBidi" w:hAnsiTheme="minorBidi"/>
          <w:sz w:val="24"/>
          <w:szCs w:val="24"/>
        </w:rPr>
        <w:t xml:space="preserve"> (2018). </w:t>
      </w:r>
      <w:r w:rsidRPr="00D2517C">
        <w:rPr>
          <w:rFonts w:asciiTheme="minorBidi" w:hAnsiTheme="minorBidi"/>
          <w:sz w:val="24"/>
          <w:szCs w:val="24"/>
        </w:rPr>
        <w:t>Risk factor for deep vein thrombosis of lower extremities in Sudanese women’’</w:t>
      </w:r>
      <w:r w:rsidRPr="00D2517C">
        <w:rPr>
          <w:rFonts w:asciiTheme="minorBidi" w:hAnsiTheme="minorBidi"/>
          <w:i/>
          <w:iCs/>
          <w:sz w:val="24"/>
          <w:szCs w:val="24"/>
        </w:rPr>
        <w:t xml:space="preserve">.Vasocular Health and Risk Managment, </w:t>
      </w:r>
      <w:r w:rsidRPr="00D2517C">
        <w:rPr>
          <w:rFonts w:asciiTheme="minorBidi" w:hAnsiTheme="minorBidi"/>
          <w:sz w:val="24"/>
          <w:szCs w:val="24"/>
        </w:rPr>
        <w:t>14</w:t>
      </w:r>
      <w:r w:rsidR="00D2517C">
        <w:rPr>
          <w:rFonts w:asciiTheme="minorBidi" w:hAnsiTheme="minorBidi"/>
          <w:sz w:val="24"/>
          <w:szCs w:val="24"/>
        </w:rPr>
        <w:t>:</w:t>
      </w:r>
      <w:r w:rsidRPr="00D2517C">
        <w:rPr>
          <w:rFonts w:asciiTheme="minorBidi" w:hAnsiTheme="minorBidi"/>
          <w:sz w:val="24"/>
          <w:szCs w:val="24"/>
        </w:rPr>
        <w:t>157-164</w:t>
      </w:r>
      <w:r w:rsidR="00D2517C">
        <w:rPr>
          <w:rFonts w:asciiTheme="minorBidi" w:hAnsiTheme="minorBidi"/>
          <w:sz w:val="24"/>
          <w:szCs w:val="24"/>
        </w:rPr>
        <w:t>.</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 xml:space="preserve">Kiley, J., &amp; Hammond, C. (2007). Combined oral contraceptives: a comprehensive review. </w:t>
      </w:r>
      <w:r w:rsidRPr="00D2517C">
        <w:rPr>
          <w:rFonts w:asciiTheme="minorBidi" w:hAnsiTheme="minorBidi"/>
          <w:i/>
          <w:iCs/>
          <w:sz w:val="24"/>
          <w:szCs w:val="24"/>
        </w:rPr>
        <w:t>Clinical obstetrics and gynecology</w:t>
      </w:r>
      <w:r w:rsidRPr="00D2517C">
        <w:rPr>
          <w:rFonts w:asciiTheme="minorBidi" w:hAnsiTheme="minorBidi"/>
          <w:sz w:val="24"/>
          <w:szCs w:val="24"/>
        </w:rPr>
        <w:t xml:space="preserve">, </w:t>
      </w:r>
      <w:r w:rsidRPr="00D2517C">
        <w:rPr>
          <w:rFonts w:asciiTheme="minorBidi" w:hAnsiTheme="minorBidi"/>
          <w:i/>
          <w:iCs/>
          <w:sz w:val="24"/>
          <w:szCs w:val="24"/>
        </w:rPr>
        <w:t>50</w:t>
      </w:r>
      <w:r w:rsidRPr="00D2517C">
        <w:rPr>
          <w:rFonts w:asciiTheme="minorBidi" w:hAnsiTheme="minorBidi"/>
          <w:sz w:val="24"/>
          <w:szCs w:val="24"/>
        </w:rPr>
        <w:t>(4), 868-877.</w:t>
      </w:r>
    </w:p>
    <w:p w:rsidR="00B177A7" w:rsidRPr="00D2517C" w:rsidRDefault="00B177A7" w:rsidP="009B1468">
      <w:pPr>
        <w:spacing w:after="0" w:line="360" w:lineRule="auto"/>
        <w:jc w:val="both"/>
        <w:rPr>
          <w:rFonts w:asciiTheme="minorBidi" w:eastAsia="Times New Roman" w:hAnsiTheme="minorBidi"/>
          <w:sz w:val="24"/>
          <w:szCs w:val="24"/>
        </w:rPr>
      </w:pPr>
      <w:r w:rsidRPr="00D2517C">
        <w:rPr>
          <w:rFonts w:asciiTheme="minorBidi" w:eastAsia="Times New Roman" w:hAnsiTheme="minorBidi"/>
          <w:sz w:val="24"/>
          <w:szCs w:val="24"/>
        </w:rPr>
        <w:t xml:space="preserve">Levi, M., &amp; van der Poll, T. (2013). Disseminated intravascular coagulation: a review for the internist. </w:t>
      </w:r>
      <w:r w:rsidRPr="00D2517C">
        <w:rPr>
          <w:rFonts w:asciiTheme="minorBidi" w:eastAsia="Times New Roman" w:hAnsiTheme="minorBidi"/>
          <w:i/>
          <w:iCs/>
          <w:sz w:val="24"/>
          <w:szCs w:val="24"/>
        </w:rPr>
        <w:t>Internal and emergency medicine</w:t>
      </w:r>
      <w:r w:rsidRPr="00D2517C">
        <w:rPr>
          <w:rFonts w:asciiTheme="minorBidi" w:eastAsia="Times New Roman" w:hAnsiTheme="minorBidi"/>
          <w:sz w:val="24"/>
          <w:szCs w:val="24"/>
        </w:rPr>
        <w:t xml:space="preserve">, </w:t>
      </w:r>
      <w:r w:rsidRPr="00D2517C">
        <w:rPr>
          <w:rFonts w:asciiTheme="minorBidi" w:eastAsia="Times New Roman" w:hAnsiTheme="minorBidi"/>
          <w:i/>
          <w:iCs/>
          <w:sz w:val="24"/>
          <w:szCs w:val="24"/>
        </w:rPr>
        <w:t>8</w:t>
      </w:r>
      <w:r w:rsidRPr="00D2517C">
        <w:rPr>
          <w:rFonts w:asciiTheme="minorBidi" w:eastAsia="Times New Roman" w:hAnsiTheme="minorBidi"/>
          <w:sz w:val="24"/>
          <w:szCs w:val="24"/>
        </w:rPr>
        <w:t>(1), 23-32.</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Martinelli I., Maino A.,.Abbattista M, Bucciorrelli P., Passamonti S.M., Artori A.,.Gianniello F and Peyvandi F</w:t>
      </w:r>
      <w:r w:rsidR="00D2517C">
        <w:rPr>
          <w:rFonts w:asciiTheme="minorBidi" w:hAnsiTheme="minorBidi"/>
          <w:sz w:val="24"/>
          <w:szCs w:val="24"/>
        </w:rPr>
        <w:t xml:space="preserve">. (2016). </w:t>
      </w:r>
      <w:r w:rsidRPr="00D2517C">
        <w:rPr>
          <w:rFonts w:asciiTheme="minorBidi" w:hAnsiTheme="minorBidi"/>
          <w:sz w:val="24"/>
          <w:szCs w:val="24"/>
        </w:rPr>
        <w:t>Duration of oral contraceptive use and their venous thromboembolism a case-control study’’.</w:t>
      </w:r>
      <w:r w:rsidRPr="00D2517C">
        <w:rPr>
          <w:rFonts w:asciiTheme="minorBidi" w:hAnsiTheme="minorBidi"/>
          <w:i/>
          <w:iCs/>
          <w:sz w:val="24"/>
          <w:szCs w:val="24"/>
        </w:rPr>
        <w:t>Thrombosis Research</w:t>
      </w:r>
      <w:r w:rsidRPr="00D2517C">
        <w:rPr>
          <w:rFonts w:asciiTheme="minorBidi" w:hAnsiTheme="minorBidi"/>
          <w:sz w:val="24"/>
          <w:szCs w:val="24"/>
        </w:rPr>
        <w:t xml:space="preserve">, </w:t>
      </w:r>
      <w:r w:rsidR="00D2517C">
        <w:rPr>
          <w:rFonts w:asciiTheme="minorBidi" w:hAnsiTheme="minorBidi"/>
          <w:sz w:val="24"/>
          <w:szCs w:val="24"/>
        </w:rPr>
        <w:t>141:</w:t>
      </w:r>
      <w:r w:rsidRPr="00D2517C">
        <w:rPr>
          <w:rFonts w:asciiTheme="minorBidi" w:hAnsiTheme="minorBidi"/>
          <w:sz w:val="24"/>
          <w:szCs w:val="24"/>
        </w:rPr>
        <w:t>153-7</w:t>
      </w:r>
      <w:r w:rsidR="00D2517C">
        <w:rPr>
          <w:rFonts w:asciiTheme="minorBidi" w:hAnsiTheme="minorBidi"/>
          <w:sz w:val="24"/>
          <w:szCs w:val="24"/>
        </w:rPr>
        <w:t>.</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Piparva K.G. and.Buch J.G.</w:t>
      </w:r>
      <w:r w:rsidR="00D2517C">
        <w:rPr>
          <w:rFonts w:asciiTheme="minorBidi" w:hAnsiTheme="minorBidi"/>
          <w:sz w:val="24"/>
          <w:szCs w:val="24"/>
        </w:rPr>
        <w:t xml:space="preserve"> (2011). </w:t>
      </w:r>
      <w:r w:rsidRPr="00D2517C">
        <w:rPr>
          <w:rFonts w:asciiTheme="minorBidi" w:hAnsiTheme="minorBidi"/>
          <w:sz w:val="24"/>
          <w:szCs w:val="24"/>
        </w:rPr>
        <w:t>Deep vein thrombosis in women taking oral combined contraceptive pills’’.</w:t>
      </w:r>
      <w:r w:rsidRPr="00D2517C">
        <w:rPr>
          <w:rFonts w:asciiTheme="minorBidi" w:hAnsiTheme="minorBidi"/>
          <w:i/>
          <w:iCs/>
          <w:sz w:val="24"/>
          <w:szCs w:val="24"/>
        </w:rPr>
        <w:t xml:space="preserve"> Journal of pharmacology pharmacotherapeutics</w:t>
      </w:r>
      <w:r w:rsidRPr="00D2517C">
        <w:rPr>
          <w:rFonts w:asciiTheme="minorBidi" w:hAnsiTheme="minorBidi"/>
          <w:sz w:val="24"/>
          <w:szCs w:val="24"/>
        </w:rPr>
        <w:t>,</w:t>
      </w:r>
      <w:r w:rsidR="00D2517C" w:rsidRPr="00D2517C">
        <w:rPr>
          <w:rFonts w:asciiTheme="minorBidi" w:hAnsiTheme="minorBidi"/>
          <w:sz w:val="24"/>
          <w:szCs w:val="24"/>
        </w:rPr>
        <w:t xml:space="preserve"> </w:t>
      </w:r>
      <w:r w:rsidRPr="00D2517C">
        <w:rPr>
          <w:rFonts w:asciiTheme="minorBidi" w:hAnsiTheme="minorBidi"/>
          <w:sz w:val="24"/>
          <w:szCs w:val="24"/>
        </w:rPr>
        <w:t>2</w:t>
      </w:r>
      <w:r w:rsidR="00D2517C">
        <w:rPr>
          <w:rFonts w:asciiTheme="minorBidi" w:hAnsiTheme="minorBidi"/>
          <w:sz w:val="24"/>
          <w:szCs w:val="24"/>
        </w:rPr>
        <w:t>:</w:t>
      </w:r>
      <w:r w:rsidRPr="00D2517C">
        <w:rPr>
          <w:rFonts w:asciiTheme="minorBidi" w:hAnsiTheme="minorBidi"/>
          <w:sz w:val="24"/>
          <w:szCs w:val="24"/>
        </w:rPr>
        <w:t>185-186.</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 xml:space="preserve">Renner, R. M., &amp; Edelman, A. (2016). Progestin-only oral contraceptives. In </w:t>
      </w:r>
      <w:r w:rsidRPr="00D2517C">
        <w:rPr>
          <w:rFonts w:asciiTheme="minorBidi" w:hAnsiTheme="minorBidi"/>
          <w:i/>
          <w:iCs/>
          <w:sz w:val="24"/>
          <w:szCs w:val="24"/>
        </w:rPr>
        <w:t>The Handbook of Contraception</w:t>
      </w:r>
      <w:r w:rsidRPr="00D2517C">
        <w:rPr>
          <w:rFonts w:asciiTheme="minorBidi" w:hAnsiTheme="minorBidi"/>
          <w:sz w:val="24"/>
          <w:szCs w:val="24"/>
        </w:rPr>
        <w:t xml:space="preserve"> (pp. 79-86). Humana Press, Cham.</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Trenor C.</w:t>
      </w:r>
      <w:r w:rsidRPr="00D2517C">
        <w:rPr>
          <w:rFonts w:asciiTheme="minorBidi" w:hAnsiTheme="minorBidi"/>
          <w:b/>
          <w:bCs/>
          <w:sz w:val="24"/>
          <w:szCs w:val="24"/>
        </w:rPr>
        <w:t xml:space="preserve">, </w:t>
      </w:r>
      <w:r w:rsidRPr="00D2517C">
        <w:rPr>
          <w:rFonts w:asciiTheme="minorBidi" w:hAnsiTheme="minorBidi"/>
          <w:sz w:val="24"/>
          <w:szCs w:val="24"/>
        </w:rPr>
        <w:t>Chung R., , Michelson A., , Neufeld E., Gordon C., , Laufer M., and Emans J..’’Hormonal contraception and Thrombotic risk: Amultidiscipllinary approach’’.</w:t>
      </w:r>
      <w:r w:rsidRPr="00D2517C">
        <w:rPr>
          <w:rFonts w:asciiTheme="minorBidi" w:hAnsiTheme="minorBidi"/>
          <w:i/>
          <w:iCs/>
          <w:sz w:val="24"/>
          <w:szCs w:val="24"/>
        </w:rPr>
        <w:t xml:space="preserve"> National Center for Bio technology information</w:t>
      </w:r>
      <w:r w:rsidRPr="00D2517C">
        <w:rPr>
          <w:rFonts w:asciiTheme="minorBidi" w:hAnsiTheme="minorBidi"/>
          <w:sz w:val="24"/>
          <w:szCs w:val="24"/>
        </w:rPr>
        <w:t>,vol.127,pp</w:t>
      </w:r>
      <w:r w:rsidRPr="00D2517C">
        <w:rPr>
          <w:rFonts w:asciiTheme="minorBidi" w:hAnsiTheme="minorBidi"/>
          <w:b/>
          <w:bCs/>
          <w:sz w:val="24"/>
          <w:szCs w:val="24"/>
        </w:rPr>
        <w:t>.</w:t>
      </w:r>
      <w:r w:rsidRPr="00D2517C">
        <w:rPr>
          <w:rFonts w:asciiTheme="minorBidi" w:hAnsiTheme="minorBidi"/>
          <w:sz w:val="24"/>
          <w:szCs w:val="24"/>
        </w:rPr>
        <w:t>347-357,2011.</w:t>
      </w:r>
    </w:p>
    <w:p w:rsidR="00B177A7" w:rsidRPr="00D2517C" w:rsidRDefault="00B177A7" w:rsidP="009B1468">
      <w:pPr>
        <w:spacing w:line="360" w:lineRule="auto"/>
        <w:jc w:val="both"/>
        <w:rPr>
          <w:rFonts w:asciiTheme="minorBidi" w:hAnsiTheme="minorBidi"/>
          <w:sz w:val="24"/>
          <w:szCs w:val="24"/>
        </w:rPr>
      </w:pPr>
      <w:r w:rsidRPr="00D2517C">
        <w:rPr>
          <w:rFonts w:asciiTheme="minorBidi" w:hAnsiTheme="minorBidi"/>
          <w:sz w:val="24"/>
          <w:szCs w:val="24"/>
        </w:rPr>
        <w:t xml:space="preserve">van Rooijen, M., von Schoultz, B., Silveira, A., Hamsten, A., &amp; Bremme, K. (2002). Different effects of oral contraceptives containing levonorgestrel or desogestrel on plasma lipoproteins and coagulation factor VII. </w:t>
      </w:r>
      <w:r w:rsidRPr="00D2517C">
        <w:rPr>
          <w:rFonts w:asciiTheme="minorBidi" w:hAnsiTheme="minorBidi"/>
          <w:i/>
          <w:iCs/>
          <w:sz w:val="24"/>
          <w:szCs w:val="24"/>
        </w:rPr>
        <w:t>American journal of obstetrics and gynecology</w:t>
      </w:r>
      <w:r w:rsidRPr="00D2517C">
        <w:rPr>
          <w:rFonts w:asciiTheme="minorBidi" w:hAnsiTheme="minorBidi"/>
          <w:sz w:val="24"/>
          <w:szCs w:val="24"/>
        </w:rPr>
        <w:t xml:space="preserve">, </w:t>
      </w:r>
      <w:r w:rsidRPr="00D2517C">
        <w:rPr>
          <w:rFonts w:asciiTheme="minorBidi" w:hAnsiTheme="minorBidi"/>
          <w:i/>
          <w:iCs/>
          <w:sz w:val="24"/>
          <w:szCs w:val="24"/>
        </w:rPr>
        <w:t>186</w:t>
      </w:r>
      <w:r w:rsidRPr="00D2517C">
        <w:rPr>
          <w:rFonts w:asciiTheme="minorBidi" w:hAnsiTheme="minorBidi"/>
          <w:sz w:val="24"/>
          <w:szCs w:val="24"/>
        </w:rPr>
        <w:t>(1), 44-48.</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t>Vinogradova Y,, Coupland, C.and Cox J.H.</w:t>
      </w:r>
      <w:r w:rsidR="00D2517C">
        <w:rPr>
          <w:rFonts w:asciiTheme="minorBidi" w:hAnsiTheme="minorBidi"/>
          <w:sz w:val="24"/>
          <w:szCs w:val="24"/>
        </w:rPr>
        <w:t xml:space="preserve"> (2014).</w:t>
      </w:r>
      <w:r w:rsidR="00D2517C" w:rsidRPr="00D2517C">
        <w:rPr>
          <w:rFonts w:asciiTheme="minorBidi" w:hAnsiTheme="minorBidi"/>
          <w:sz w:val="24"/>
          <w:szCs w:val="24"/>
        </w:rPr>
        <w:t xml:space="preserve"> </w:t>
      </w:r>
      <w:r w:rsidRPr="00D2517C">
        <w:rPr>
          <w:rFonts w:asciiTheme="minorBidi" w:hAnsiTheme="minorBidi"/>
          <w:sz w:val="24"/>
          <w:szCs w:val="24"/>
        </w:rPr>
        <w:t>Exposure to combined oral contraceptiveand risk of venous thromboembolism: aprotoocol for nested case – control studies using the Q research and CPRD data base’’</w:t>
      </w:r>
      <w:r w:rsidRPr="00D2517C">
        <w:rPr>
          <w:rFonts w:asciiTheme="minorBidi" w:hAnsiTheme="minorBidi"/>
          <w:i/>
          <w:iCs/>
          <w:sz w:val="24"/>
          <w:szCs w:val="24"/>
        </w:rPr>
        <w:t xml:space="preserve">. British Medical Journal, </w:t>
      </w:r>
      <w:r w:rsidRPr="00D2517C">
        <w:rPr>
          <w:rFonts w:asciiTheme="minorBidi" w:hAnsiTheme="minorBidi"/>
          <w:sz w:val="24"/>
          <w:szCs w:val="24"/>
        </w:rPr>
        <w:t>4</w:t>
      </w:r>
      <w:r w:rsidR="00D2517C">
        <w:rPr>
          <w:rFonts w:asciiTheme="minorBidi" w:hAnsiTheme="minorBidi"/>
          <w:sz w:val="24"/>
          <w:szCs w:val="24"/>
        </w:rPr>
        <w:t>:17.</w:t>
      </w:r>
    </w:p>
    <w:p w:rsidR="00B177A7" w:rsidRPr="00D2517C" w:rsidRDefault="00B177A7" w:rsidP="00D2517C">
      <w:pPr>
        <w:spacing w:line="360" w:lineRule="auto"/>
        <w:jc w:val="both"/>
        <w:rPr>
          <w:rFonts w:asciiTheme="minorBidi" w:hAnsiTheme="minorBidi"/>
          <w:sz w:val="24"/>
          <w:szCs w:val="24"/>
        </w:rPr>
      </w:pPr>
      <w:r w:rsidRPr="00D2517C">
        <w:rPr>
          <w:rFonts w:asciiTheme="minorBidi" w:hAnsiTheme="minorBidi"/>
          <w:sz w:val="24"/>
          <w:szCs w:val="24"/>
        </w:rPr>
        <w:lastRenderedPageBreak/>
        <w:t xml:space="preserve">Wolski </w:t>
      </w:r>
      <w:r w:rsidR="00D2517C">
        <w:rPr>
          <w:rFonts w:asciiTheme="minorBidi" w:hAnsiTheme="minorBidi"/>
          <w:sz w:val="24"/>
          <w:szCs w:val="24"/>
        </w:rPr>
        <w:t xml:space="preserve">H. (2014). </w:t>
      </w:r>
      <w:r w:rsidRPr="00D2517C">
        <w:rPr>
          <w:rFonts w:asciiTheme="minorBidi" w:hAnsiTheme="minorBidi"/>
          <w:sz w:val="24"/>
          <w:szCs w:val="24"/>
        </w:rPr>
        <w:t>Selectaspect of oral contraception side effects’'</w:t>
      </w:r>
      <w:r w:rsidRPr="00D2517C">
        <w:rPr>
          <w:rFonts w:asciiTheme="minorBidi" w:hAnsiTheme="minorBidi"/>
          <w:i/>
          <w:iCs/>
          <w:sz w:val="24"/>
          <w:szCs w:val="24"/>
        </w:rPr>
        <w:t>. National Center for Bio technology information,</w:t>
      </w:r>
      <w:r w:rsidR="00D2517C">
        <w:rPr>
          <w:rFonts w:asciiTheme="minorBidi" w:hAnsiTheme="minorBidi"/>
          <w:sz w:val="24"/>
          <w:szCs w:val="24"/>
        </w:rPr>
        <w:t>85:944-9.</w:t>
      </w:r>
    </w:p>
    <w:sectPr w:rsidR="00B177A7" w:rsidRPr="00D2517C" w:rsidSect="00563472">
      <w:headerReference w:type="even" r:id="rId9"/>
      <w:headerReference w:type="default" r:id="rId10"/>
      <w:footerReference w:type="default" r:id="rId11"/>
      <w:footerReference w:type="first" r:id="rId12"/>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6B" w:rsidRDefault="0053026B" w:rsidP="002F4C5C">
      <w:pPr>
        <w:spacing w:after="0" w:line="240" w:lineRule="auto"/>
      </w:pPr>
      <w:r>
        <w:separator/>
      </w:r>
    </w:p>
  </w:endnote>
  <w:endnote w:type="continuationSeparator" w:id="0">
    <w:p w:rsidR="0053026B" w:rsidRDefault="0053026B" w:rsidP="002F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28"/>
      <w:docPartObj>
        <w:docPartGallery w:val="Page Numbers (Bottom of Page)"/>
        <w:docPartUnique/>
      </w:docPartObj>
    </w:sdtPr>
    <w:sdtEndPr/>
    <w:sdtContent>
      <w:p w:rsidR="00913013" w:rsidRDefault="004F435B">
        <w:pPr>
          <w:pStyle w:val="Footer"/>
          <w:jc w:val="center"/>
        </w:pPr>
        <w:r w:rsidRPr="002D411C">
          <w:rPr>
            <w:sz w:val="20"/>
            <w:szCs w:val="20"/>
          </w:rPr>
          <w:fldChar w:fldCharType="begin"/>
        </w:r>
        <w:r w:rsidR="0019501E" w:rsidRPr="002D411C">
          <w:rPr>
            <w:sz w:val="20"/>
            <w:szCs w:val="20"/>
          </w:rPr>
          <w:instrText xml:space="preserve"> PAGE   \* MERGEFORMAT </w:instrText>
        </w:r>
        <w:r w:rsidRPr="002D411C">
          <w:rPr>
            <w:sz w:val="20"/>
            <w:szCs w:val="20"/>
          </w:rPr>
          <w:fldChar w:fldCharType="separate"/>
        </w:r>
        <w:r w:rsidR="00172FDE" w:rsidRPr="00172FDE">
          <w:rPr>
            <w:rFonts w:cs="Calibri"/>
            <w:noProof/>
            <w:sz w:val="20"/>
            <w:szCs w:val="20"/>
            <w:lang w:val="ar-SA"/>
          </w:rPr>
          <w:t>2</w:t>
        </w:r>
        <w:r w:rsidRPr="002D411C">
          <w:rPr>
            <w:sz w:val="20"/>
            <w:szCs w:val="20"/>
          </w:rPr>
          <w:fldChar w:fldCharType="end"/>
        </w:r>
      </w:p>
    </w:sdtContent>
  </w:sdt>
  <w:p w:rsidR="00913013" w:rsidRDefault="0053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19"/>
      <w:docPartObj>
        <w:docPartGallery w:val="Page Numbers (Bottom of Page)"/>
        <w:docPartUnique/>
      </w:docPartObj>
    </w:sdtPr>
    <w:sdtEndPr/>
    <w:sdtContent>
      <w:p w:rsidR="00913013" w:rsidRDefault="004F435B">
        <w:pPr>
          <w:pStyle w:val="Footer"/>
          <w:jc w:val="center"/>
        </w:pPr>
        <w:r w:rsidRPr="00713E64">
          <w:rPr>
            <w:sz w:val="20"/>
            <w:szCs w:val="20"/>
          </w:rPr>
          <w:fldChar w:fldCharType="begin"/>
        </w:r>
        <w:r w:rsidR="0019501E" w:rsidRPr="00713E64">
          <w:rPr>
            <w:sz w:val="20"/>
            <w:szCs w:val="20"/>
          </w:rPr>
          <w:instrText xml:space="preserve"> PAGE   \* MERGEFORMAT </w:instrText>
        </w:r>
        <w:r w:rsidRPr="00713E64">
          <w:rPr>
            <w:sz w:val="20"/>
            <w:szCs w:val="20"/>
          </w:rPr>
          <w:fldChar w:fldCharType="separate"/>
        </w:r>
        <w:r w:rsidR="00172FDE" w:rsidRPr="00172FDE">
          <w:rPr>
            <w:rFonts w:cs="Calibri"/>
            <w:noProof/>
            <w:sz w:val="20"/>
            <w:szCs w:val="20"/>
            <w:lang w:val="ar-SA"/>
          </w:rPr>
          <w:t>1</w:t>
        </w:r>
        <w:r w:rsidRPr="00713E64">
          <w:rPr>
            <w:sz w:val="20"/>
            <w:szCs w:val="20"/>
          </w:rPr>
          <w:fldChar w:fldCharType="end"/>
        </w:r>
      </w:p>
    </w:sdtContent>
  </w:sdt>
  <w:p w:rsidR="00913013" w:rsidRDefault="0053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6B" w:rsidRDefault="0053026B" w:rsidP="002F4C5C">
      <w:pPr>
        <w:spacing w:after="0" w:line="240" w:lineRule="auto"/>
      </w:pPr>
      <w:r>
        <w:separator/>
      </w:r>
    </w:p>
  </w:footnote>
  <w:footnote w:type="continuationSeparator" w:id="0">
    <w:p w:rsidR="0053026B" w:rsidRDefault="0053026B" w:rsidP="002F4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13" w:rsidRDefault="0019501E" w:rsidP="000018E0">
    <w:pPr>
      <w:pStyle w:val="Header"/>
      <w:tabs>
        <w:tab w:val="center" w:pos="4920"/>
      </w:tabs>
    </w:pPr>
    <w:r>
      <w:tab/>
    </w:r>
    <w:r w:rsidRPr="0002463A">
      <w:t>International Journal of Sciences: Basic and Applied Research (IJSBAR)</w:t>
    </w:r>
    <w:r w:rsidRPr="00F44A6D">
      <w:t>(</w:t>
    </w:r>
    <w:r w:rsidR="004F435B" w:rsidRPr="00F44A6D">
      <w:fldChar w:fldCharType="begin"/>
    </w:r>
    <w:r w:rsidRPr="00F44A6D">
      <w:instrText xml:space="preserve"> DATE \@ "yyyy" \* MERGEFORMAT </w:instrText>
    </w:r>
    <w:r w:rsidR="004F435B" w:rsidRPr="00F44A6D">
      <w:fldChar w:fldCharType="separate"/>
    </w:r>
    <w:r w:rsidR="00172FDE">
      <w:t>2019</w:t>
    </w:r>
    <w:r w:rsidR="004F435B"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013" w:rsidRDefault="0053026B" w:rsidP="00A239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5C"/>
    <w:rsid w:val="00135875"/>
    <w:rsid w:val="00172FDE"/>
    <w:rsid w:val="0019501E"/>
    <w:rsid w:val="002A4CD7"/>
    <w:rsid w:val="002F4C5C"/>
    <w:rsid w:val="003428A1"/>
    <w:rsid w:val="004F435B"/>
    <w:rsid w:val="0053026B"/>
    <w:rsid w:val="005C65D0"/>
    <w:rsid w:val="008A6CD6"/>
    <w:rsid w:val="009824CA"/>
    <w:rsid w:val="009A63EC"/>
    <w:rsid w:val="009B1468"/>
    <w:rsid w:val="00AC7092"/>
    <w:rsid w:val="00B177A7"/>
    <w:rsid w:val="00CD5632"/>
    <w:rsid w:val="00D2517C"/>
    <w:rsid w:val="00E96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2F4C5C"/>
    <w:pPr>
      <w:keepNext/>
      <w:numPr>
        <w:numId w:val="1"/>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2F4C5C"/>
    <w:pPr>
      <w:keepNext/>
      <w:numPr>
        <w:ilvl w:val="1"/>
        <w:numId w:val="1"/>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2F4C5C"/>
    <w:pPr>
      <w:keepNext/>
      <w:numPr>
        <w:ilvl w:val="2"/>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2F4C5C"/>
    <w:pPr>
      <w:keepNext/>
      <w:numPr>
        <w:ilvl w:val="3"/>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Author">
    <w:name w:val="Els-Author"/>
    <w:next w:val="Normal"/>
    <w:rsid w:val="002F4C5C"/>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2F4C5C"/>
    <w:pPr>
      <w:keepNext/>
      <w:spacing w:after="0" w:line="240" w:lineRule="exact"/>
      <w:ind w:firstLine="238"/>
      <w:jc w:val="both"/>
    </w:pPr>
    <w:rPr>
      <w:rFonts w:ascii="Times New Roman" w:eastAsia="Times New Roman" w:hAnsi="Times New Roman" w:cs="Times New Roman"/>
      <w:sz w:val="20"/>
      <w:szCs w:val="20"/>
    </w:rPr>
  </w:style>
  <w:style w:type="paragraph" w:customStyle="1" w:styleId="Els-reprint-line">
    <w:name w:val="Els-reprint-line"/>
    <w:basedOn w:val="Normal"/>
    <w:rsid w:val="002F4C5C"/>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Header">
    <w:name w:val="header"/>
    <w:link w:val="HeaderChar"/>
    <w:uiPriority w:val="99"/>
    <w:rsid w:val="002F4C5C"/>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2F4C5C"/>
    <w:rPr>
      <w:rFonts w:ascii="Times New Roman" w:eastAsia="Times New Roman" w:hAnsi="Times New Roman" w:cs="Times New Roman"/>
      <w:i/>
      <w:noProof/>
      <w:sz w:val="16"/>
      <w:szCs w:val="20"/>
    </w:rPr>
  </w:style>
  <w:style w:type="paragraph" w:styleId="FootnoteText">
    <w:name w:val="footnote text"/>
    <w:basedOn w:val="Normal"/>
    <w:link w:val="FootnoteTextChar"/>
    <w:uiPriority w:val="99"/>
    <w:rsid w:val="002F4C5C"/>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uiPriority w:val="99"/>
    <w:rsid w:val="002F4C5C"/>
    <w:rPr>
      <w:rFonts w:ascii="Univers" w:eastAsia="Times New Roman" w:hAnsi="Univers" w:cs="Times New Roman"/>
      <w:sz w:val="20"/>
      <w:szCs w:val="20"/>
      <w:lang w:val="en-GB"/>
    </w:rPr>
  </w:style>
  <w:style w:type="character" w:styleId="Hyperlink">
    <w:name w:val="Hyperlink"/>
    <w:rsid w:val="002F4C5C"/>
    <w:rPr>
      <w:color w:val="auto"/>
      <w:sz w:val="16"/>
      <w:u w:val="none"/>
    </w:rPr>
  </w:style>
  <w:style w:type="paragraph" w:customStyle="1" w:styleId="Els-Abstract-Copyright">
    <w:name w:val="Els-Abstract-Copyright"/>
    <w:basedOn w:val="Normal"/>
    <w:rsid w:val="002F4C5C"/>
    <w:pPr>
      <w:spacing w:after="220" w:line="220" w:lineRule="exact"/>
      <w:jc w:val="both"/>
    </w:pPr>
    <w:rPr>
      <w:rFonts w:ascii="Times New Roman" w:eastAsia="Times New Roman" w:hAnsi="Times New Roman" w:cs="Times New Roman"/>
      <w:sz w:val="18"/>
      <w:szCs w:val="20"/>
    </w:rPr>
  </w:style>
  <w:style w:type="character" w:customStyle="1" w:styleId="Els-1storder-headChar">
    <w:name w:val="Els-1storder-head Char"/>
    <w:link w:val="Els-1storder-head"/>
    <w:rsid w:val="002F4C5C"/>
    <w:rPr>
      <w:rFonts w:ascii="Times New Roman" w:eastAsia="Times New Roman" w:hAnsi="Times New Roman" w:cs="Times New Roman"/>
      <w:b/>
      <w:sz w:val="20"/>
      <w:szCs w:val="20"/>
    </w:rPr>
  </w:style>
  <w:style w:type="character" w:styleId="Strong">
    <w:name w:val="Strong"/>
    <w:basedOn w:val="DefaultParagraphFont"/>
    <w:uiPriority w:val="22"/>
    <w:qFormat/>
    <w:rsid w:val="002F4C5C"/>
    <w:rPr>
      <w:b/>
      <w:bCs/>
    </w:rPr>
  </w:style>
  <w:style w:type="paragraph" w:styleId="Footer">
    <w:name w:val="footer"/>
    <w:basedOn w:val="Normal"/>
    <w:link w:val="FooterChar"/>
    <w:uiPriority w:val="99"/>
    <w:unhideWhenUsed/>
    <w:rsid w:val="002F4C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C5C"/>
  </w:style>
  <w:style w:type="paragraph" w:styleId="BalloonText">
    <w:name w:val="Balloon Text"/>
    <w:basedOn w:val="Normal"/>
    <w:link w:val="BalloonTextChar"/>
    <w:uiPriority w:val="99"/>
    <w:semiHidden/>
    <w:unhideWhenUsed/>
    <w:rsid w:val="002F4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5C"/>
    <w:rPr>
      <w:rFonts w:ascii="Tahoma" w:hAnsi="Tahoma" w:cs="Tahoma"/>
      <w:sz w:val="16"/>
      <w:szCs w:val="16"/>
    </w:rPr>
  </w:style>
  <w:style w:type="character" w:customStyle="1" w:styleId="tlid-translation">
    <w:name w:val="tlid-translation"/>
    <w:basedOn w:val="DefaultParagraphFont"/>
    <w:rsid w:val="002F4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2F4C5C"/>
    <w:pPr>
      <w:keepNext/>
      <w:numPr>
        <w:numId w:val="1"/>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2F4C5C"/>
    <w:pPr>
      <w:keepNext/>
      <w:numPr>
        <w:ilvl w:val="1"/>
        <w:numId w:val="1"/>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2F4C5C"/>
    <w:pPr>
      <w:keepNext/>
      <w:numPr>
        <w:ilvl w:val="2"/>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2F4C5C"/>
    <w:pPr>
      <w:keepNext/>
      <w:numPr>
        <w:ilvl w:val="3"/>
        <w:numId w:val="1"/>
      </w:numPr>
      <w:suppressAutoHyphens/>
      <w:spacing w:before="240" w:after="0" w:line="240" w:lineRule="exact"/>
    </w:pPr>
    <w:rPr>
      <w:rFonts w:ascii="Times New Roman" w:eastAsia="Times New Roman" w:hAnsi="Times New Roman" w:cs="Times New Roman"/>
      <w:i/>
      <w:sz w:val="20"/>
      <w:szCs w:val="20"/>
    </w:rPr>
  </w:style>
  <w:style w:type="paragraph" w:customStyle="1" w:styleId="Els-Author">
    <w:name w:val="Els-Author"/>
    <w:next w:val="Normal"/>
    <w:rsid w:val="002F4C5C"/>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2F4C5C"/>
    <w:pPr>
      <w:keepNext/>
      <w:spacing w:after="0" w:line="240" w:lineRule="exact"/>
      <w:ind w:firstLine="238"/>
      <w:jc w:val="both"/>
    </w:pPr>
    <w:rPr>
      <w:rFonts w:ascii="Times New Roman" w:eastAsia="Times New Roman" w:hAnsi="Times New Roman" w:cs="Times New Roman"/>
      <w:sz w:val="20"/>
      <w:szCs w:val="20"/>
    </w:rPr>
  </w:style>
  <w:style w:type="paragraph" w:customStyle="1" w:styleId="Els-reprint-line">
    <w:name w:val="Els-reprint-line"/>
    <w:basedOn w:val="Normal"/>
    <w:rsid w:val="002F4C5C"/>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Header">
    <w:name w:val="header"/>
    <w:link w:val="HeaderChar"/>
    <w:uiPriority w:val="99"/>
    <w:rsid w:val="002F4C5C"/>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2F4C5C"/>
    <w:rPr>
      <w:rFonts w:ascii="Times New Roman" w:eastAsia="Times New Roman" w:hAnsi="Times New Roman" w:cs="Times New Roman"/>
      <w:i/>
      <w:noProof/>
      <w:sz w:val="16"/>
      <w:szCs w:val="20"/>
    </w:rPr>
  </w:style>
  <w:style w:type="paragraph" w:styleId="FootnoteText">
    <w:name w:val="footnote text"/>
    <w:basedOn w:val="Normal"/>
    <w:link w:val="FootnoteTextChar"/>
    <w:uiPriority w:val="99"/>
    <w:rsid w:val="002F4C5C"/>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uiPriority w:val="99"/>
    <w:rsid w:val="002F4C5C"/>
    <w:rPr>
      <w:rFonts w:ascii="Univers" w:eastAsia="Times New Roman" w:hAnsi="Univers" w:cs="Times New Roman"/>
      <w:sz w:val="20"/>
      <w:szCs w:val="20"/>
      <w:lang w:val="en-GB"/>
    </w:rPr>
  </w:style>
  <w:style w:type="character" w:styleId="Hyperlink">
    <w:name w:val="Hyperlink"/>
    <w:rsid w:val="002F4C5C"/>
    <w:rPr>
      <w:color w:val="auto"/>
      <w:sz w:val="16"/>
      <w:u w:val="none"/>
    </w:rPr>
  </w:style>
  <w:style w:type="paragraph" w:customStyle="1" w:styleId="Els-Abstract-Copyright">
    <w:name w:val="Els-Abstract-Copyright"/>
    <w:basedOn w:val="Normal"/>
    <w:rsid w:val="002F4C5C"/>
    <w:pPr>
      <w:spacing w:after="220" w:line="220" w:lineRule="exact"/>
      <w:jc w:val="both"/>
    </w:pPr>
    <w:rPr>
      <w:rFonts w:ascii="Times New Roman" w:eastAsia="Times New Roman" w:hAnsi="Times New Roman" w:cs="Times New Roman"/>
      <w:sz w:val="18"/>
      <w:szCs w:val="20"/>
    </w:rPr>
  </w:style>
  <w:style w:type="character" w:customStyle="1" w:styleId="Els-1storder-headChar">
    <w:name w:val="Els-1storder-head Char"/>
    <w:link w:val="Els-1storder-head"/>
    <w:rsid w:val="002F4C5C"/>
    <w:rPr>
      <w:rFonts w:ascii="Times New Roman" w:eastAsia="Times New Roman" w:hAnsi="Times New Roman" w:cs="Times New Roman"/>
      <w:b/>
      <w:sz w:val="20"/>
      <w:szCs w:val="20"/>
    </w:rPr>
  </w:style>
  <w:style w:type="character" w:styleId="Strong">
    <w:name w:val="Strong"/>
    <w:basedOn w:val="DefaultParagraphFont"/>
    <w:uiPriority w:val="22"/>
    <w:qFormat/>
    <w:rsid w:val="002F4C5C"/>
    <w:rPr>
      <w:b/>
      <w:bCs/>
    </w:rPr>
  </w:style>
  <w:style w:type="paragraph" w:styleId="Footer">
    <w:name w:val="footer"/>
    <w:basedOn w:val="Normal"/>
    <w:link w:val="FooterChar"/>
    <w:uiPriority w:val="99"/>
    <w:unhideWhenUsed/>
    <w:rsid w:val="002F4C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C5C"/>
  </w:style>
  <w:style w:type="paragraph" w:styleId="BalloonText">
    <w:name w:val="Balloon Text"/>
    <w:basedOn w:val="Normal"/>
    <w:link w:val="BalloonTextChar"/>
    <w:uiPriority w:val="99"/>
    <w:semiHidden/>
    <w:unhideWhenUsed/>
    <w:rsid w:val="002F4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C5C"/>
    <w:rPr>
      <w:rFonts w:ascii="Tahoma" w:hAnsi="Tahoma" w:cs="Tahoma"/>
      <w:sz w:val="16"/>
      <w:szCs w:val="16"/>
    </w:rPr>
  </w:style>
  <w:style w:type="character" w:customStyle="1" w:styleId="tlid-translation">
    <w:name w:val="tlid-translation"/>
    <w:basedOn w:val="DefaultParagraphFont"/>
    <w:rsid w:val="002F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dc:creator>
  <cp:lastModifiedBy>Leka L</cp:lastModifiedBy>
  <cp:revision>2</cp:revision>
  <dcterms:created xsi:type="dcterms:W3CDTF">2019-11-29T00:24:00Z</dcterms:created>
  <dcterms:modified xsi:type="dcterms:W3CDTF">2019-11-29T00:24:00Z</dcterms:modified>
</cp:coreProperties>
</file>