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67" w:rsidRPr="00952CD8" w:rsidRDefault="00E00167" w:rsidP="00E00167">
      <w:pPr>
        <w:pStyle w:val="ResimYazs"/>
        <w:keepNext/>
        <w:spacing w:line="276" w:lineRule="auto"/>
        <w:rPr>
          <w:rFonts w:ascii="Arial" w:hAnsi="Arial" w:cs="Arial"/>
          <w:color w:val="auto"/>
          <w:sz w:val="24"/>
          <w:szCs w:val="24"/>
        </w:rPr>
      </w:pPr>
      <w:r w:rsidRPr="00952CD8">
        <w:rPr>
          <w:rFonts w:ascii="Arial" w:hAnsi="Arial" w:cs="Arial"/>
          <w:color w:val="auto"/>
          <w:sz w:val="24"/>
          <w:szCs w:val="24"/>
        </w:rPr>
        <w:t xml:space="preserve">Table </w:t>
      </w:r>
      <w:r w:rsidRPr="00952CD8">
        <w:rPr>
          <w:rFonts w:ascii="Arial" w:hAnsi="Arial" w:cs="Arial"/>
          <w:color w:val="auto"/>
          <w:sz w:val="24"/>
          <w:szCs w:val="24"/>
        </w:rPr>
        <w:fldChar w:fldCharType="begin"/>
      </w:r>
      <w:r w:rsidRPr="00952CD8">
        <w:rPr>
          <w:rFonts w:ascii="Arial" w:hAnsi="Arial" w:cs="Arial"/>
          <w:color w:val="auto"/>
          <w:sz w:val="24"/>
          <w:szCs w:val="24"/>
        </w:rPr>
        <w:instrText xml:space="preserve"> SEQ Table \* ARABIC </w:instrText>
      </w:r>
      <w:r w:rsidRPr="00952CD8">
        <w:rPr>
          <w:rFonts w:ascii="Arial" w:hAnsi="Arial" w:cs="Arial"/>
          <w:color w:val="auto"/>
          <w:sz w:val="24"/>
          <w:szCs w:val="24"/>
        </w:rPr>
        <w:fldChar w:fldCharType="separate"/>
      </w:r>
      <w:r w:rsidRPr="00952CD8">
        <w:rPr>
          <w:rFonts w:ascii="Arial" w:hAnsi="Arial" w:cs="Arial"/>
          <w:noProof/>
          <w:color w:val="auto"/>
          <w:sz w:val="24"/>
          <w:szCs w:val="24"/>
        </w:rPr>
        <w:t>1</w:t>
      </w:r>
      <w:r w:rsidRPr="00952CD8">
        <w:rPr>
          <w:rFonts w:ascii="Arial" w:hAnsi="Arial" w:cs="Arial"/>
          <w:color w:val="auto"/>
          <w:sz w:val="24"/>
          <w:szCs w:val="24"/>
        </w:rPr>
        <w:fldChar w:fldCharType="end"/>
      </w:r>
      <w:r w:rsidRPr="00952CD8">
        <w:rPr>
          <w:rFonts w:ascii="Arial" w:hAnsi="Arial" w:cs="Arial"/>
          <w:color w:val="auto"/>
          <w:sz w:val="24"/>
          <w:szCs w:val="24"/>
        </w:rPr>
        <w:t xml:space="preserve">:  </w:t>
      </w:r>
      <w:r w:rsidRPr="00952CD8">
        <w:rPr>
          <w:rFonts w:ascii="Arial" w:hAnsi="Arial" w:cs="Arial"/>
          <w:b w:val="0"/>
          <w:color w:val="auto"/>
          <w:sz w:val="24"/>
          <w:szCs w:val="24"/>
        </w:rPr>
        <w:t>Patients’ characteristics</w:t>
      </w:r>
    </w:p>
    <w:tbl>
      <w:tblPr>
        <w:tblStyle w:val="TabloKlavuzu"/>
        <w:tblpPr w:leftFromText="141" w:rightFromText="141" w:vertAnchor="page" w:horzAnchor="margin" w:tblpXSpec="center" w:tblpY="2251"/>
        <w:tblW w:w="7196" w:type="dxa"/>
        <w:tblLook w:val="04A0" w:firstRow="1" w:lastRow="0" w:firstColumn="1" w:lastColumn="0" w:noHBand="0" w:noVBand="1"/>
      </w:tblPr>
      <w:tblGrid>
        <w:gridCol w:w="3936"/>
        <w:gridCol w:w="3260"/>
      </w:tblGrid>
      <w:tr w:rsidR="00E00167" w:rsidRPr="00952CD8" w:rsidTr="0073428A">
        <w:trPr>
          <w:trHeight w:val="557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Parameter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Patient Population</w:t>
            </w:r>
          </w:p>
        </w:tc>
      </w:tr>
      <w:tr w:rsidR="00E00167" w:rsidRPr="00952CD8" w:rsidTr="0073428A">
        <w:trPr>
          <w:trHeight w:val="361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Age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(median)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60 (60-81) </w:t>
            </w:r>
          </w:p>
        </w:tc>
      </w:tr>
      <w:tr w:rsidR="00E00167" w:rsidRPr="00952CD8" w:rsidTr="0073428A">
        <w:trPr>
          <w:trHeight w:val="430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Gender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(Female /Male)(n)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31/32</w:t>
            </w:r>
          </w:p>
        </w:tc>
      </w:tr>
      <w:tr w:rsidR="00E00167" w:rsidRPr="00952CD8" w:rsidTr="0073428A">
        <w:trPr>
          <w:trHeight w:val="905"/>
        </w:trPr>
        <w:tc>
          <w:tcPr>
            <w:tcW w:w="3936" w:type="dxa"/>
          </w:tcPr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MM Subgroup</w:t>
            </w:r>
          </w:p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Heavy chain (n)</w:t>
            </w:r>
          </w:p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Light chain (n)</w:t>
            </w:r>
          </w:p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Nonsecretory (n)</w:t>
            </w:r>
          </w:p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Unknown (n)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 w:rsidDel="006438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49</w:t>
            </w:r>
          </w:p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  <w:p w:rsidR="00E00167" w:rsidRPr="00952CD8" w:rsidRDefault="00E00167" w:rsidP="0073428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 w:rsidDel="006438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  <w:p w:rsidR="00E00167" w:rsidRPr="00952CD8" w:rsidRDefault="00E00167" w:rsidP="0073428A">
            <w:pPr>
              <w:pStyle w:val="AralkYok"/>
              <w:spacing w:line="48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 w:rsidDel="006438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E00167" w:rsidRPr="00952CD8" w:rsidTr="0073428A">
        <w:trPr>
          <w:trHeight w:val="1331"/>
        </w:trPr>
        <w:tc>
          <w:tcPr>
            <w:tcW w:w="3936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ISS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ISS I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ISS II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ISS III (n)</w:t>
            </w:r>
          </w:p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Unknown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 w:rsidDel="006438F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23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22 </w:t>
            </w:r>
          </w:p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6</w:t>
            </w:r>
          </w:p>
        </w:tc>
      </w:tr>
      <w:tr w:rsidR="00E00167" w:rsidRPr="00952CD8" w:rsidTr="0073428A">
        <w:trPr>
          <w:trHeight w:val="1140"/>
        </w:trPr>
        <w:tc>
          <w:tcPr>
            <w:tcW w:w="3936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Durie Salmon Stage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DS1 (n)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DS2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DS3 (n)</w:t>
            </w:r>
          </w:p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15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46</w:t>
            </w:r>
          </w:p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2</w:t>
            </w:r>
          </w:p>
        </w:tc>
      </w:tr>
      <w:tr w:rsidR="00E00167" w:rsidRPr="00952CD8" w:rsidTr="0073428A">
        <w:trPr>
          <w:trHeight w:val="1733"/>
        </w:trPr>
        <w:tc>
          <w:tcPr>
            <w:tcW w:w="3936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Pre-transplant disease status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CR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VGPR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PR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Stable disease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Progressive (n)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18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19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2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E00167" w:rsidRPr="00952CD8" w:rsidTr="0073428A">
        <w:trPr>
          <w:trHeight w:val="2400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keepLines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lastRenderedPageBreak/>
              <w:t>Chemoterapy  line(s)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 line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2 lines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3 lines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5 lines (n)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31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E00167" w:rsidRPr="00952CD8" w:rsidTr="0073428A">
        <w:trPr>
          <w:trHeight w:val="790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Melphalan dose 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140mg/m</w:t>
            </w:r>
            <w:r w:rsidRPr="00952C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(n)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200mg/m</w:t>
            </w:r>
            <w:r w:rsidRPr="00952C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(n)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51</w:t>
            </w:r>
          </w:p>
        </w:tc>
      </w:tr>
      <w:tr w:rsidR="00E00167" w:rsidRPr="00952CD8" w:rsidTr="0073428A">
        <w:trPr>
          <w:trHeight w:val="703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Renal Failure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(GFR&lt;50ml/min/day) </w:t>
            </w: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Present (n) </w:t>
            </w: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None(n) 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59 </w:t>
            </w:r>
          </w:p>
        </w:tc>
      </w:tr>
      <w:tr w:rsidR="00E00167" w:rsidRPr="00952CD8" w:rsidTr="0073428A">
        <w:trPr>
          <w:trHeight w:val="685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Radiotherapy </w:t>
            </w: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Applied (n) </w:t>
            </w: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None (n)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  <w:p w:rsidR="00E00167" w:rsidRPr="00952CD8" w:rsidRDefault="00E00167" w:rsidP="0073428A">
            <w:pPr>
              <w:pStyle w:val="AralkYok"/>
              <w:spacing w:line="36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56</w:t>
            </w:r>
          </w:p>
        </w:tc>
      </w:tr>
      <w:tr w:rsidR="00E00167" w:rsidRPr="00952CD8" w:rsidTr="0073428A">
        <w:trPr>
          <w:trHeight w:val="792"/>
        </w:trPr>
        <w:tc>
          <w:tcPr>
            <w:tcW w:w="3936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The quantity of infused CD34</w:t>
            </w:r>
            <w:r w:rsidRPr="00952CD8">
              <w:rPr>
                <w:rFonts w:ascii="Arial" w:hAnsi="Arial" w:cs="Arial"/>
                <w:b/>
                <w:sz w:val="24"/>
                <w:szCs w:val="24"/>
                <w:vertAlign w:val="superscript"/>
                <w:lang w:val="en-US"/>
              </w:rPr>
              <w:t>+</w:t>
            </w: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 xml:space="preserve"> Stem Cells 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(median)</w:t>
            </w:r>
          </w:p>
        </w:tc>
        <w:tc>
          <w:tcPr>
            <w:tcW w:w="3260" w:type="dxa"/>
          </w:tcPr>
          <w:p w:rsidR="00E00167" w:rsidRPr="00952CD8" w:rsidRDefault="00E00167" w:rsidP="0073428A">
            <w:pPr>
              <w:pStyle w:val="AralkYok"/>
              <w:spacing w:line="276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4.45 x10</w:t>
            </w:r>
            <w:r w:rsidRPr="00952C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 xml:space="preserve">6 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/kg  (2,57-8,1)</w:t>
            </w:r>
          </w:p>
        </w:tc>
      </w:tr>
    </w:tbl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952CD8">
        <w:rPr>
          <w:rFonts w:ascii="Arial" w:hAnsi="Arial" w:cs="Arial"/>
          <w:sz w:val="24"/>
          <w:szCs w:val="24"/>
          <w:lang w:val="en-US"/>
        </w:rPr>
        <w:t>MM: multiple myeloma, ISS: International Staging System, DS: Durie Salmon,</w:t>
      </w: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952CD8">
        <w:rPr>
          <w:rFonts w:ascii="Arial" w:hAnsi="Arial" w:cs="Arial"/>
          <w:sz w:val="24"/>
          <w:szCs w:val="24"/>
          <w:lang w:val="en-US"/>
        </w:rPr>
        <w:t xml:space="preserve">CR: complete response, VGPR: very good partial response,  PR: partial response, </w:t>
      </w: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 w:rsidRPr="00952CD8">
        <w:rPr>
          <w:rFonts w:ascii="Arial" w:hAnsi="Arial" w:cs="Arial"/>
          <w:sz w:val="24"/>
          <w:szCs w:val="24"/>
          <w:lang w:val="en-US"/>
        </w:rPr>
        <w:t>GFR: glomerular filtration rate, min:minute</w:t>
      </w: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52CD8">
        <w:rPr>
          <w:rFonts w:ascii="Arial" w:hAnsi="Arial" w:cs="Arial"/>
          <w:b/>
          <w:sz w:val="24"/>
          <w:szCs w:val="24"/>
          <w:lang w:val="en-US"/>
        </w:rPr>
        <w:t xml:space="preserve">Table 2: </w:t>
      </w:r>
      <w:r w:rsidRPr="00952CD8">
        <w:rPr>
          <w:rFonts w:ascii="Arial" w:hAnsi="Arial" w:cs="Arial"/>
          <w:sz w:val="24"/>
          <w:szCs w:val="24"/>
          <w:lang w:val="en-US"/>
        </w:rPr>
        <w:t>Progression-free-survival and Overall survival between age groups</w:t>
      </w:r>
    </w:p>
    <w:p w:rsidR="00E00167" w:rsidRPr="00952CD8" w:rsidRDefault="00E00167" w:rsidP="00E00167">
      <w:pPr>
        <w:ind w:firstLine="708"/>
        <w:jc w:val="both"/>
        <w:rPr>
          <w:rFonts w:ascii="Arial" w:hAnsi="Arial" w:cs="Arial"/>
          <w:sz w:val="24"/>
          <w:szCs w:val="24"/>
          <w:lang w:val="en-US"/>
        </w:rPr>
      </w:pPr>
    </w:p>
    <w:tbl>
      <w:tblPr>
        <w:tblStyle w:val="TabloKlavuzu"/>
        <w:tblpPr w:leftFromText="180" w:rightFromText="180" w:vertAnchor="text" w:horzAnchor="page" w:tblpX="1729" w:tblpY="-249"/>
        <w:tblW w:w="0" w:type="auto"/>
        <w:tblLook w:val="04A0" w:firstRow="1" w:lastRow="0" w:firstColumn="1" w:lastColumn="0" w:noHBand="0" w:noVBand="1"/>
      </w:tblPr>
      <w:tblGrid>
        <w:gridCol w:w="2924"/>
        <w:gridCol w:w="1760"/>
        <w:gridCol w:w="1897"/>
        <w:gridCol w:w="1520"/>
        <w:gridCol w:w="1129"/>
      </w:tblGrid>
      <w:tr w:rsidR="00E00167" w:rsidRPr="00952CD8" w:rsidTr="0073428A">
        <w:tc>
          <w:tcPr>
            <w:tcW w:w="2924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1760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60-64 years</w:t>
            </w:r>
          </w:p>
        </w:tc>
        <w:tc>
          <w:tcPr>
            <w:tcW w:w="1897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65-69 years</w:t>
            </w:r>
          </w:p>
        </w:tc>
        <w:tc>
          <w:tcPr>
            <w:tcW w:w="1520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≥70 years</w:t>
            </w:r>
          </w:p>
        </w:tc>
        <w:tc>
          <w:tcPr>
            <w:tcW w:w="1129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p value</w:t>
            </w:r>
          </w:p>
        </w:tc>
      </w:tr>
      <w:tr w:rsidR="00E00167" w:rsidRPr="00952CD8" w:rsidTr="0073428A">
        <w:tc>
          <w:tcPr>
            <w:tcW w:w="2924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Progression-free Survival  (PFS) (months)</w:t>
            </w:r>
          </w:p>
        </w:tc>
        <w:tc>
          <w:tcPr>
            <w:tcW w:w="1760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12±2,3</w:t>
            </w:r>
          </w:p>
        </w:tc>
        <w:tc>
          <w:tcPr>
            <w:tcW w:w="1897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18,4±6</w:t>
            </w:r>
          </w:p>
        </w:tc>
        <w:tc>
          <w:tcPr>
            <w:tcW w:w="1520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26±15</w:t>
            </w:r>
          </w:p>
        </w:tc>
        <w:tc>
          <w:tcPr>
            <w:tcW w:w="112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 : 0,463</w:t>
            </w:r>
          </w:p>
        </w:tc>
      </w:tr>
      <w:tr w:rsidR="00E00167" w:rsidRPr="00952CD8" w:rsidTr="0073428A">
        <w:tc>
          <w:tcPr>
            <w:tcW w:w="2924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b/>
                <w:sz w:val="24"/>
                <w:szCs w:val="24"/>
                <w:lang w:val="en-US"/>
              </w:rPr>
              <w:t>Overall Survival (OS) (months)</w:t>
            </w:r>
          </w:p>
        </w:tc>
        <w:tc>
          <w:tcPr>
            <w:tcW w:w="1760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26,5±6,1</w:t>
            </w:r>
          </w:p>
        </w:tc>
        <w:tc>
          <w:tcPr>
            <w:tcW w:w="1897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39,66±8,9</w:t>
            </w:r>
          </w:p>
        </w:tc>
        <w:tc>
          <w:tcPr>
            <w:tcW w:w="1520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18</w:t>
            </w:r>
          </w:p>
        </w:tc>
        <w:tc>
          <w:tcPr>
            <w:tcW w:w="112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 : 0,620</w:t>
            </w:r>
          </w:p>
        </w:tc>
      </w:tr>
    </w:tbl>
    <w:p w:rsidR="00E00167" w:rsidRPr="00952CD8" w:rsidRDefault="00E00167" w:rsidP="00E00167">
      <w:pPr>
        <w:jc w:val="both"/>
        <w:rPr>
          <w:rFonts w:ascii="Arial" w:hAnsi="Arial" w:cs="Arial"/>
          <w:sz w:val="24"/>
          <w:szCs w:val="24"/>
          <w:lang w:val="en-US"/>
        </w:rPr>
      </w:pPr>
    </w:p>
    <w:p w:rsidR="00E00167" w:rsidRPr="00952CD8" w:rsidRDefault="00E00167" w:rsidP="00E00167">
      <w:pPr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952CD8">
        <w:rPr>
          <w:rFonts w:ascii="Arial" w:hAnsi="Arial" w:cs="Arial"/>
          <w:b/>
          <w:sz w:val="24"/>
          <w:szCs w:val="24"/>
          <w:lang w:val="en-US"/>
        </w:rPr>
        <w:t xml:space="preserve">Table 3: </w:t>
      </w:r>
      <w:r w:rsidRPr="00952CD8">
        <w:rPr>
          <w:rFonts w:ascii="Arial" w:hAnsi="Arial" w:cs="Arial"/>
          <w:sz w:val="24"/>
          <w:szCs w:val="24"/>
          <w:lang w:val="en-US"/>
        </w:rPr>
        <w:t>Factors impacting Progression-free-survival and Overall survival</w:t>
      </w:r>
      <w:r w:rsidRPr="00952CD8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952CD8">
        <w:rPr>
          <w:rFonts w:ascii="Arial" w:hAnsi="Arial" w:cs="Arial"/>
          <w:sz w:val="24"/>
          <w:szCs w:val="24"/>
          <w:lang w:val="en-US"/>
        </w:rPr>
        <w:t xml:space="preserve">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03"/>
        <w:gridCol w:w="2409"/>
        <w:gridCol w:w="2318"/>
      </w:tblGrid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Progression Free Survival  (PFS)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Overall Survival (OS)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The quantity of infused median CD34+ Stem Cells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0.05*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&lt;0.001**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ISS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0,716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0.041*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Gender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0,304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0,810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Age Groups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0,463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0,620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MM subgroup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0,587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0,984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Melphalan dose (140 mg/m</w:t>
            </w:r>
            <w:r w:rsidRPr="00952C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 vs 200 mg/m</w:t>
            </w:r>
            <w:r w:rsidRPr="00952CD8">
              <w:rPr>
                <w:rFonts w:ascii="Arial" w:hAnsi="Arial" w:cs="Arial"/>
                <w:sz w:val="24"/>
                <w:szCs w:val="24"/>
                <w:vertAlign w:val="superscript"/>
                <w:lang w:val="en-US"/>
              </w:rPr>
              <w:t>2</w:t>
            </w: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)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0,115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0,578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number of chemoterapy lines received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0,434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0,272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 xml:space="preserve">Radiotherapy  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0,224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0,501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Pre-transplant disease status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0,767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0,054</w:t>
            </w:r>
          </w:p>
        </w:tc>
      </w:tr>
      <w:tr w:rsidR="00E00167" w:rsidRPr="00952CD8" w:rsidTr="0073428A">
        <w:tc>
          <w:tcPr>
            <w:tcW w:w="4503" w:type="dxa"/>
          </w:tcPr>
          <w:p w:rsidR="00E00167" w:rsidRPr="00952CD8" w:rsidRDefault="00E00167" w:rsidP="0073428A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Post-transplant disease status</w:t>
            </w:r>
          </w:p>
        </w:tc>
        <w:tc>
          <w:tcPr>
            <w:tcW w:w="2409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0,268</w:t>
            </w:r>
          </w:p>
        </w:tc>
        <w:tc>
          <w:tcPr>
            <w:tcW w:w="2318" w:type="dxa"/>
          </w:tcPr>
          <w:p w:rsidR="00E00167" w:rsidRPr="00952CD8" w:rsidRDefault="00E00167" w:rsidP="0073428A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952CD8">
              <w:rPr>
                <w:rFonts w:ascii="Arial" w:hAnsi="Arial" w:cs="Arial"/>
                <w:sz w:val="24"/>
                <w:szCs w:val="24"/>
                <w:lang w:val="en-US"/>
              </w:rPr>
              <w:t>p: 0,811</w:t>
            </w:r>
          </w:p>
        </w:tc>
      </w:tr>
    </w:tbl>
    <w:p w:rsidR="00E00167" w:rsidRPr="00952CD8" w:rsidRDefault="00E00167" w:rsidP="00E00167">
      <w:pPr>
        <w:jc w:val="both"/>
        <w:rPr>
          <w:rFonts w:ascii="Arial" w:hAnsi="Arial" w:cs="Arial"/>
          <w:sz w:val="24"/>
          <w:szCs w:val="24"/>
          <w:lang w:val="en-US"/>
        </w:rPr>
      </w:pPr>
      <w:r w:rsidRPr="00952CD8">
        <w:rPr>
          <w:rFonts w:ascii="Arial" w:hAnsi="Arial" w:cs="Arial"/>
          <w:sz w:val="24"/>
          <w:szCs w:val="24"/>
          <w:lang w:val="en-US"/>
        </w:rPr>
        <w:t>ISS : International Staging System ,  MM : multiple myeloma , *p&lt;0.05</w:t>
      </w:r>
    </w:p>
    <w:p w:rsidR="00DF6571" w:rsidRPr="00952CD8" w:rsidRDefault="00CF12D0">
      <w:pPr>
        <w:rPr>
          <w:rFonts w:ascii="Arial" w:hAnsi="Arial" w:cs="Arial"/>
          <w:sz w:val="24"/>
          <w:szCs w:val="24"/>
        </w:rPr>
      </w:pPr>
    </w:p>
    <w:sectPr w:rsidR="00DF6571" w:rsidRPr="00952C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2D0" w:rsidRDefault="00CF12D0" w:rsidP="00597589">
      <w:pPr>
        <w:spacing w:after="0" w:line="240" w:lineRule="auto"/>
      </w:pPr>
      <w:r>
        <w:separator/>
      </w:r>
    </w:p>
  </w:endnote>
  <w:endnote w:type="continuationSeparator" w:id="0">
    <w:p w:rsidR="00CF12D0" w:rsidRDefault="00CF12D0" w:rsidP="005975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89" w:rsidRDefault="00597589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89" w:rsidRDefault="00597589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89" w:rsidRDefault="0059758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2D0" w:rsidRDefault="00CF12D0" w:rsidP="00597589">
      <w:pPr>
        <w:spacing w:after="0" w:line="240" w:lineRule="auto"/>
      </w:pPr>
      <w:r>
        <w:separator/>
      </w:r>
    </w:p>
  </w:footnote>
  <w:footnote w:type="continuationSeparator" w:id="0">
    <w:p w:rsidR="00CF12D0" w:rsidRDefault="00CF12D0" w:rsidP="005975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89" w:rsidRDefault="00597589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89" w:rsidRDefault="00597589" w:rsidP="00597589">
    <w:r>
      <w:t>PPID: MLTJ-4908-9278-44</w:t>
    </w:r>
  </w:p>
  <w:p w:rsidR="00597589" w:rsidRDefault="00597589">
    <w:pPr>
      <w:pStyle w:val="stbilgi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589" w:rsidRDefault="0059758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1F6"/>
    <w:rsid w:val="00336474"/>
    <w:rsid w:val="00597589"/>
    <w:rsid w:val="008101F6"/>
    <w:rsid w:val="00952CD8"/>
    <w:rsid w:val="00A545CE"/>
    <w:rsid w:val="00CF12D0"/>
    <w:rsid w:val="00E0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6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0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E00167"/>
    <w:pPr>
      <w:spacing w:line="240" w:lineRule="auto"/>
    </w:pPr>
    <w:rPr>
      <w:rFonts w:eastAsiaTheme="minorHAnsi"/>
      <w:b/>
      <w:bCs/>
      <w:color w:val="5B9BD5" w:themeColor="accent1"/>
      <w:sz w:val="18"/>
      <w:szCs w:val="18"/>
      <w:lang w:eastAsia="en-US"/>
    </w:rPr>
  </w:style>
  <w:style w:type="paragraph" w:styleId="AralkYok">
    <w:name w:val="No Spacing"/>
    <w:uiPriority w:val="1"/>
    <w:qFormat/>
    <w:rsid w:val="00E0016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9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758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7589"/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167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001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simYazs">
    <w:name w:val="caption"/>
    <w:basedOn w:val="Normal"/>
    <w:next w:val="Normal"/>
    <w:uiPriority w:val="35"/>
    <w:unhideWhenUsed/>
    <w:qFormat/>
    <w:rsid w:val="00E00167"/>
    <w:pPr>
      <w:spacing w:line="240" w:lineRule="auto"/>
    </w:pPr>
    <w:rPr>
      <w:rFonts w:eastAsiaTheme="minorHAnsi"/>
      <w:b/>
      <w:bCs/>
      <w:color w:val="5B9BD5" w:themeColor="accent1"/>
      <w:sz w:val="18"/>
      <w:szCs w:val="18"/>
      <w:lang w:eastAsia="en-US"/>
    </w:rPr>
  </w:style>
  <w:style w:type="paragraph" w:styleId="AralkYok">
    <w:name w:val="No Spacing"/>
    <w:uiPriority w:val="1"/>
    <w:qFormat/>
    <w:rsid w:val="00E00167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9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9758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75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97589"/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4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2019-12-16T18:40:00Z</dcterms:created>
  <dcterms:modified xsi:type="dcterms:W3CDTF">2019-12-17T19:49:00Z</dcterms:modified>
</cp:coreProperties>
</file>